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33" w:rsidRDefault="00F33733" w:rsidP="00F33733">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F33733" w:rsidRDefault="00F33733" w:rsidP="00F33733">
      <w:pPr>
        <w:autoSpaceDE w:val="0"/>
        <w:autoSpaceDN w:val="0"/>
        <w:adjustRightInd w:val="0"/>
        <w:spacing w:after="0" w:line="240" w:lineRule="auto"/>
        <w:jc w:val="center"/>
        <w:rPr>
          <w:rFonts w:ascii="Arial" w:hAnsi="Arial" w:cs="Arial"/>
          <w:b/>
          <w:bCs/>
          <w:sz w:val="20"/>
          <w:szCs w:val="20"/>
        </w:rPr>
      </w:pPr>
    </w:p>
    <w:p w:rsidR="00F33733" w:rsidRDefault="00F33733" w:rsidP="00F3373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РАСПОРЯЖЕНИЕ</w:t>
      </w:r>
    </w:p>
    <w:p w:rsidR="00F33733" w:rsidRDefault="00F33733" w:rsidP="00F3373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26 января 2016 г. N 80-р</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w:t>
      </w:r>
      <w:hyperlink w:anchor="Par21" w:history="1">
        <w:r>
          <w:rPr>
            <w:rFonts w:ascii="Arial" w:hAnsi="Arial" w:cs="Arial"/>
            <w:color w:val="0000FF"/>
            <w:sz w:val="20"/>
            <w:szCs w:val="20"/>
          </w:rPr>
          <w:t>Стратегию</w:t>
        </w:r>
      </w:hyperlink>
      <w:r>
        <w:rPr>
          <w:rFonts w:ascii="Arial" w:hAnsi="Arial" w:cs="Arial"/>
          <w:sz w:val="20"/>
          <w:szCs w:val="20"/>
        </w:rPr>
        <w:t xml:space="preserve"> развития жилищно-коммунального хозяйства в Российской Федерации на период до 2020 года.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r>
        <w:rPr>
          <w:rFonts w:ascii="Arial" w:hAnsi="Arial" w:cs="Arial"/>
          <w:sz w:val="20"/>
          <w:szCs w:val="20"/>
        </w:rPr>
        <w:fldChar w:fldCharType="begin"/>
      </w:r>
      <w:r>
        <w:rPr>
          <w:rFonts w:ascii="Arial" w:hAnsi="Arial" w:cs="Arial"/>
          <w:sz w:val="20"/>
          <w:szCs w:val="20"/>
        </w:rPr>
        <w:instrText xml:space="preserve">HYPERLINK \l Par21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Стратегии</w:t>
      </w:r>
      <w:r>
        <w:rPr>
          <w:rFonts w:ascii="Arial" w:hAnsi="Arial" w:cs="Arial"/>
          <w:sz w:val="20"/>
          <w:szCs w:val="20"/>
        </w:rPr>
        <w:fldChar w:fldCharType="end"/>
      </w:r>
      <w:r>
        <w:rPr>
          <w:rFonts w:ascii="Arial" w:hAnsi="Arial" w:cs="Arial"/>
          <w:sz w:val="20"/>
          <w:szCs w:val="20"/>
        </w:rP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bookmarkStart w:id="0" w:name="_GoBack"/>
      <w:bookmarkEnd w:id="0"/>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распоряжением Правительства</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января 2016 г. N 80-р</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rPr>
          <w:rFonts w:ascii="Arial" w:hAnsi="Arial" w:cs="Arial"/>
          <w:b/>
          <w:bCs/>
          <w:sz w:val="20"/>
          <w:szCs w:val="20"/>
        </w:rPr>
      </w:pPr>
      <w:bookmarkStart w:id="1" w:name="Par21"/>
      <w:bookmarkEnd w:id="1"/>
      <w:r>
        <w:rPr>
          <w:rFonts w:ascii="Arial" w:hAnsi="Arial" w:cs="Arial"/>
          <w:b/>
          <w:bCs/>
          <w:sz w:val="20"/>
          <w:szCs w:val="20"/>
        </w:rPr>
        <w:t>СТРАТЕГИЯ</w:t>
      </w:r>
    </w:p>
    <w:p w:rsidR="00F33733" w:rsidRDefault="00F33733" w:rsidP="00F3373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РАЗВИТИЯ ЖИЛИЩНО-КОММУНАЛЬНОГО ХОЗЯЙСТВА В РОССИЙСКОЙ</w:t>
      </w:r>
    </w:p>
    <w:p w:rsidR="00F33733" w:rsidRDefault="00F33733" w:rsidP="00F3373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ФЕДЕРАЦИИ НА ПЕРИОД ДО 2020 ГОДА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Введение</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consultantplus://offline/ref=14F3478DF577336F3DE511C8812578F36879FE26B108BB0E01FB63lBP0H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Конституцией</w:t>
      </w:r>
      <w:r>
        <w:rPr>
          <w:rFonts w:ascii="Arial" w:hAnsi="Arial" w:cs="Arial"/>
          <w:sz w:val="20"/>
          <w:szCs w:val="20"/>
        </w:rPr>
        <w:fldChar w:fldCharType="end"/>
      </w:r>
      <w:r>
        <w:rPr>
          <w:rFonts w:ascii="Arial" w:hAnsi="Arial" w:cs="Arial"/>
          <w:sz w:val="20"/>
          <w:szCs w:val="20"/>
        </w:rPr>
        <w:t xml:space="preserve"> Российской Федерации, Федеральным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consultantplus://offline/ref=14F3478DF577336F3DE511C8812578F36871F923BF5BEC0C50AE6DB54Dl9P3H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 стратегическом планировании в Российской Федерации", целевыми показателями и задачами, определенными в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consultantplus://offline/ref=14F3478DF577336F3DE511C8812578F36B73F020B95BEC0C50AE6DB54Dl9P3H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Указе</w:t>
      </w:r>
      <w:r>
        <w:rPr>
          <w:rFonts w:ascii="Arial" w:hAnsi="Arial" w:cs="Arial"/>
          <w:sz w:val="20"/>
          <w:szCs w:val="20"/>
        </w:rPr>
        <w:fldChar w:fldCharType="end"/>
      </w:r>
      <w:r>
        <w:rPr>
          <w:rFonts w:ascii="Arial" w:hAnsi="Arial" w:cs="Arial"/>
          <w:sz w:val="20"/>
          <w:szCs w:val="20"/>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Стратегия разработана в целях: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определения основных приоритетов, среднесрочных целей и задач государственной политики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определения основных мер и мероприятий, направленных на достижение намеченных целей.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rPr>
          <w:rFonts w:ascii="Arial" w:hAnsi="Arial" w:cs="Arial"/>
          <w:sz w:val="20"/>
          <w:szCs w:val="20"/>
        </w:rPr>
        <w:t>местных социально-экономических условий</w:t>
      </w:r>
      <w:proofErr w:type="gramEnd"/>
      <w:r>
        <w:rPr>
          <w:rFonts w:ascii="Arial" w:hAnsi="Arial" w:cs="Arial"/>
          <w:sz w:val="20"/>
          <w:szCs w:val="20"/>
        </w:rPr>
        <w:t xml:space="preserve"> и особенностей.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Ключевыми направлениями Стратегии являются: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развитие предпринимательства, усиление конкурентной среды и привлечение частных инвестиций в сферу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совершенствование системы отношений между собственниками помещений в многоквартирных домах, управляющими организациями и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повышение энергетической эффективности отрасли.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сфере жилищно-коммунального хозяйства отнесены такие основные направления, как:</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w:t>
      </w:r>
      <w:r>
        <w:rPr>
          <w:rFonts w:ascii="Arial" w:hAnsi="Arial" w:cs="Arial"/>
          <w:sz w:val="20"/>
          <w:szCs w:val="20"/>
        </w:rPr>
        <w:lastRenderedPageBreak/>
        <w:t>в многоквартирных домах, в том числе модернизацию лифтового оборудования, а также переселение граждан из аварийного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Стратегия в качестве приоритетов развития отрасли жилищно-коммунального хозяйства определяет:</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качественных жилищно-коммунальных услуг потребителям в целях обеспечения гражданам комфортных условий проживания;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баланса интересов различных участников сферы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Права, законные интересы и обязанности всех участников сферы жилищно-коммунального хозяйства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w:t>
      </w:r>
      <w:proofErr w:type="spellStart"/>
      <w:r>
        <w:rPr>
          <w:rFonts w:ascii="Arial" w:hAnsi="Arial" w:cs="Arial"/>
          <w:sz w:val="20"/>
          <w:szCs w:val="20"/>
        </w:rPr>
        <w:t>экологичности</w:t>
      </w:r>
      <w:proofErr w:type="spellEnd"/>
      <w:r>
        <w:rPr>
          <w:rFonts w:ascii="Arial" w:hAnsi="Arial" w:cs="Arial"/>
          <w:sz w:val="20"/>
          <w:szCs w:val="20"/>
        </w:rP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Стратегия является основой для разработки Стратегии развития жилищно-коммунального хозяйства до 2030 года.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Общая характеристика текущего состояния</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жилищно-коммунального хозяйства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rPr>
          <w:rFonts w:ascii="Arial" w:hAnsi="Arial" w:cs="Arial"/>
          <w:sz w:val="20"/>
          <w:szCs w:val="20"/>
        </w:rPr>
        <w:t>процентов</w:t>
      </w:r>
      <w:proofErr w:type="gramEnd"/>
      <w:r>
        <w:rPr>
          <w:rFonts w:ascii="Arial" w:hAnsi="Arial" w:cs="Arial"/>
          <w:sz w:val="20"/>
          <w:szCs w:val="20"/>
        </w:rPr>
        <w:t xml:space="preserve"> опрошенных отметили улучшение их качества, преимущественно это жители малых городов (20 процентов) и сел (15 процентов).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Основные приоритеты, цели и задачи государственной</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политики в сфере жилищно-коммунального хозяйства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Основными целями государственной политики в сфере жилищно-коммунального хозяйства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consultantplus://offline/ref=14F3478DF577336F3DE511C8812578F36B73F020B95BEC0C50AE6DB54Dl9P3H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Указом</w:t>
      </w:r>
      <w:r>
        <w:rPr>
          <w:rFonts w:ascii="Arial" w:hAnsi="Arial" w:cs="Arial"/>
          <w:sz w:val="20"/>
          <w:szCs w:val="20"/>
        </w:rPr>
        <w:fldChar w:fldCharType="end"/>
      </w:r>
      <w:r>
        <w:rPr>
          <w:rFonts w:ascii="Arial" w:hAnsi="Arial" w:cs="Arial"/>
          <w:sz w:val="20"/>
          <w:szCs w:val="20"/>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Приоритетами государственной политики в жилищно-коммунальной сфере являются: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модернизация и повышение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объектов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и платежной дисциплины, а также на содействии привлечению инвестиций в отрасль.</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rPr>
          <w:rFonts w:ascii="Arial" w:hAnsi="Arial" w:cs="Arial"/>
          <w:sz w:val="20"/>
          <w:szCs w:val="20"/>
        </w:rPr>
        <w:t>энергосервисных</w:t>
      </w:r>
      <w:proofErr w:type="spellEnd"/>
      <w:r>
        <w:rPr>
          <w:rFonts w:ascii="Arial" w:hAnsi="Arial" w:cs="Arial"/>
          <w:sz w:val="20"/>
          <w:szCs w:val="20"/>
        </w:rPr>
        <w:t xml:space="preserve">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обеспечения модернизации </w:t>
      </w:r>
      <w:proofErr w:type="spellStart"/>
      <w:r>
        <w:rPr>
          <w:rFonts w:ascii="Arial" w:hAnsi="Arial" w:cs="Arial"/>
          <w:sz w:val="20"/>
          <w:szCs w:val="20"/>
        </w:rPr>
        <w:t>инвестиционно</w:t>
      </w:r>
      <w:proofErr w:type="spellEnd"/>
      <w:r>
        <w:rPr>
          <w:rFonts w:ascii="Arial" w:hAnsi="Arial" w:cs="Arial"/>
          <w:sz w:val="20"/>
          <w:szCs w:val="20"/>
        </w:rP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достижения стратегической цели и решения поставленных задач необходимо осуществить меры и мероприятия, направленные на: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rPr>
          <w:rFonts w:ascii="Arial" w:hAnsi="Arial" w:cs="Arial"/>
          <w:sz w:val="20"/>
          <w:szCs w:val="20"/>
        </w:rPr>
        <w:t>затратность</w:t>
      </w:r>
      <w:proofErr w:type="spellEnd"/>
      <w:r>
        <w:rPr>
          <w:rFonts w:ascii="Arial" w:hAnsi="Arial" w:cs="Arial"/>
          <w:sz w:val="20"/>
          <w:szCs w:val="20"/>
        </w:rPr>
        <w:t>;</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rPr>
          <w:rFonts w:ascii="Arial" w:hAnsi="Arial" w:cs="Arial"/>
          <w:sz w:val="20"/>
          <w:szCs w:val="20"/>
        </w:rPr>
        <w:t>энергоэффективному</w:t>
      </w:r>
      <w:proofErr w:type="spellEnd"/>
      <w:r>
        <w:rPr>
          <w:rFonts w:ascii="Arial" w:hAnsi="Arial" w:cs="Arial"/>
          <w:sz w:val="20"/>
          <w:szCs w:val="20"/>
        </w:rPr>
        <w:t xml:space="preserve"> поведению;</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адресности социальной поддержки населения;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информационная система жилищно-коммунального хозяйства в части информации, размещаемой в этой информационной системе;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информационная ведомственная система мониторинга состояния жилищно-коммунального хозяйства Минстроя России;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Меры по развитию</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жилищно-коммунального хозяйства по основным направлениям</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сферы жилищно-коммунального хозяйства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Управление многоквартирными домами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Достижение этой цели будет обеспечиваться решением следующих задач:</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числу основных нормативных правовых актов в этой сфере следует отнести Жилищный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consultantplus://offline/ref=14F3478DF577336F3DE511C8812578F36871F822BC5AEC0C50AE6DB54Dl9P3H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кодекс</w:t>
      </w:r>
      <w:r>
        <w:rPr>
          <w:rFonts w:ascii="Arial" w:hAnsi="Arial" w:cs="Arial"/>
          <w:sz w:val="20"/>
          <w:szCs w:val="20"/>
        </w:rPr>
        <w:fldChar w:fldCharType="end"/>
      </w:r>
      <w:r>
        <w:rPr>
          <w:rFonts w:ascii="Arial" w:hAnsi="Arial" w:cs="Arial"/>
          <w:sz w:val="20"/>
          <w:szCs w:val="20"/>
        </w:rP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consultantplus://offline/ref=14F3478DF577336F3DE511C8812578F36B78F820BC5FEC0C50AE6DB54Dl9P3H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rPr>
          <w:rFonts w:ascii="Arial" w:hAnsi="Arial" w:cs="Arial"/>
          <w:sz w:val="20"/>
          <w:szCs w:val="20"/>
        </w:rPr>
        <w:t>указанных организаций</w:t>
      </w:r>
      <w:proofErr w:type="gramEnd"/>
      <w:r>
        <w:rPr>
          <w:rFonts w:ascii="Arial" w:hAnsi="Arial" w:cs="Arial"/>
          <w:sz w:val="20"/>
          <w:szCs w:val="20"/>
        </w:rP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consultantplus://offline/ref=14F3478DF577336F3DE511C8812578F36871F92ABB5BEC0C50AE6DB54Dl9P3H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w:t>
      </w:r>
      <w:r>
        <w:rPr>
          <w:rFonts w:ascii="Arial" w:hAnsi="Arial" w:cs="Arial"/>
          <w:sz w:val="20"/>
          <w:szCs w:val="20"/>
        </w:rPr>
        <w:lastRenderedPageBreak/>
        <w:t>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Будет сформирована новая модель правоотношений по оплате коммунальных услуг (ресурсов), предусматривающая: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совершенствование системы расчетов за коммунальные услуги;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повышение ответственности потребителей за своевременную оплату жилищно-коммунальных услуг, а также ответственности </w:t>
      </w:r>
      <w:proofErr w:type="spellStart"/>
      <w:r>
        <w:rPr>
          <w:rFonts w:ascii="Arial" w:hAnsi="Arial" w:cs="Arial"/>
          <w:sz w:val="20"/>
          <w:szCs w:val="20"/>
        </w:rPr>
        <w:t>ресурсоснабжающих</w:t>
      </w:r>
      <w:proofErr w:type="spellEnd"/>
      <w:r>
        <w:rPr>
          <w:rFonts w:ascii="Arial" w:hAnsi="Arial" w:cs="Arial"/>
          <w:sz w:val="20"/>
          <w:szCs w:val="20"/>
        </w:rP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Необходимо решить следующие задачи в сфере управления многоквартирными домами: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организаций и необоснованного нарушения прав и законных интересов потребителей.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этой части необходимы: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w:t>
      </w:r>
      <w:r>
        <w:rPr>
          <w:rFonts w:ascii="Arial" w:hAnsi="Arial" w:cs="Arial"/>
          <w:sz w:val="20"/>
          <w:szCs w:val="20"/>
        </w:rPr>
        <w:lastRenderedPageBreak/>
        <w:t>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rPr>
          <w:rFonts w:ascii="Arial" w:hAnsi="Arial" w:cs="Arial"/>
          <w:sz w:val="20"/>
          <w:szCs w:val="20"/>
        </w:rPr>
        <w:t>энергосервисных</w:t>
      </w:r>
      <w:proofErr w:type="spellEnd"/>
      <w:r>
        <w:rPr>
          <w:rFonts w:ascii="Arial" w:hAnsi="Arial" w:cs="Arial"/>
          <w:sz w:val="20"/>
          <w:szCs w:val="20"/>
        </w:rP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rPr>
          <w:rFonts w:ascii="Arial" w:hAnsi="Arial" w:cs="Arial"/>
          <w:sz w:val="20"/>
          <w:szCs w:val="20"/>
        </w:rPr>
        <w:t>ресурсоснабжения</w:t>
      </w:r>
      <w:proofErr w:type="spellEnd"/>
      <w:r>
        <w:rPr>
          <w:rFonts w:ascii="Arial" w:hAnsi="Arial" w:cs="Arial"/>
          <w:sz w:val="20"/>
          <w:szCs w:val="20"/>
        </w:rPr>
        <w:t xml:space="preserve"> и договорам управления.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Также будет обеспечено развитие </w:t>
      </w:r>
      <w:proofErr w:type="spellStart"/>
      <w:r>
        <w:rPr>
          <w:rFonts w:ascii="Arial" w:hAnsi="Arial" w:cs="Arial"/>
          <w:sz w:val="20"/>
          <w:szCs w:val="20"/>
        </w:rPr>
        <w:t>энергосервисных</w:t>
      </w:r>
      <w:proofErr w:type="spellEnd"/>
      <w:r>
        <w:rPr>
          <w:rFonts w:ascii="Arial" w:hAnsi="Arial" w:cs="Arial"/>
          <w:sz w:val="20"/>
          <w:szCs w:val="20"/>
        </w:rPr>
        <w:t xml:space="preserve"> услуг в жилищном фонде (многоквартирных домах). В частности, будет упрощен порядок заключения </w:t>
      </w:r>
      <w:proofErr w:type="spellStart"/>
      <w:r>
        <w:rPr>
          <w:rFonts w:ascii="Arial" w:hAnsi="Arial" w:cs="Arial"/>
          <w:sz w:val="20"/>
          <w:szCs w:val="20"/>
        </w:rPr>
        <w:t>энергосервисных</w:t>
      </w:r>
      <w:proofErr w:type="spellEnd"/>
      <w:r>
        <w:rPr>
          <w:rFonts w:ascii="Arial" w:hAnsi="Arial" w:cs="Arial"/>
          <w:sz w:val="20"/>
          <w:szCs w:val="20"/>
        </w:rP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в рамках Стратегии будут реализованы следующие задачи: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совершенствование системы мониторинга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rPr>
          <w:rFonts w:ascii="Arial" w:hAnsi="Arial" w:cs="Arial"/>
          <w:sz w:val="20"/>
          <w:szCs w:val="20"/>
        </w:rPr>
        <w:t>ресурсоснабжающую</w:t>
      </w:r>
      <w:proofErr w:type="spellEnd"/>
      <w:r>
        <w:rPr>
          <w:rFonts w:ascii="Arial" w:hAnsi="Arial" w:cs="Arial"/>
          <w:sz w:val="20"/>
          <w:szCs w:val="20"/>
        </w:rPr>
        <w:t xml:space="preserve"> организацию или иным организациям, оказывающим соответствующие сервисные услуги по приему и передаче указанных данных;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стимулирование широкомасштабной реализации энергосберегающих мероприятий в многоквартирных домах на основании </w:t>
      </w:r>
      <w:proofErr w:type="spellStart"/>
      <w:r>
        <w:rPr>
          <w:rFonts w:ascii="Arial" w:hAnsi="Arial" w:cs="Arial"/>
          <w:sz w:val="20"/>
          <w:szCs w:val="20"/>
        </w:rPr>
        <w:t>энергосервисных</w:t>
      </w:r>
      <w:proofErr w:type="spellEnd"/>
      <w:r>
        <w:rPr>
          <w:rFonts w:ascii="Arial" w:hAnsi="Arial" w:cs="Arial"/>
          <w:sz w:val="20"/>
          <w:szCs w:val="20"/>
        </w:rPr>
        <w:t xml:space="preserve"> договоров (контрактов), в том числе выработка мер, стимулирующих использование </w:t>
      </w:r>
      <w:proofErr w:type="spellStart"/>
      <w:r>
        <w:rPr>
          <w:rFonts w:ascii="Arial" w:hAnsi="Arial" w:cs="Arial"/>
          <w:sz w:val="20"/>
          <w:szCs w:val="20"/>
        </w:rPr>
        <w:t>энергоэффективных</w:t>
      </w:r>
      <w:proofErr w:type="spellEnd"/>
      <w:r>
        <w:rPr>
          <w:rFonts w:ascii="Arial" w:hAnsi="Arial" w:cs="Arial"/>
          <w:sz w:val="20"/>
          <w:szCs w:val="20"/>
        </w:rPr>
        <w:t xml:space="preserve"> материалов и технологий при выполнении работ (оказании услуг) по текущему содержанию и ремонту многоквартирных домов;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создание системы мониторинга состояния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в жилищной сфере, в том числе внедрение классификации многоквартирных домов по уровню </w:t>
      </w:r>
      <w:proofErr w:type="spellStart"/>
      <w:r>
        <w:rPr>
          <w:rFonts w:ascii="Arial" w:hAnsi="Arial" w:cs="Arial"/>
          <w:sz w:val="20"/>
          <w:szCs w:val="20"/>
        </w:rPr>
        <w:t>энергоэффективности</w:t>
      </w:r>
      <w:proofErr w:type="spellEnd"/>
      <w:r>
        <w:rPr>
          <w:rFonts w:ascii="Arial" w:hAnsi="Arial" w:cs="Arial"/>
          <w:sz w:val="20"/>
          <w:szCs w:val="20"/>
        </w:rPr>
        <w:t>;</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rPr>
          <w:rFonts w:ascii="Arial" w:hAnsi="Arial" w:cs="Arial"/>
          <w:sz w:val="20"/>
          <w:szCs w:val="20"/>
        </w:rPr>
        <w:t>автоплатеж</w:t>
      </w:r>
      <w:proofErr w:type="spellEnd"/>
      <w:r>
        <w:rPr>
          <w:rFonts w:ascii="Arial" w:hAnsi="Arial" w:cs="Arial"/>
          <w:sz w:val="20"/>
          <w:szCs w:val="20"/>
        </w:rPr>
        <w:t>".</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Капитальный ремонт общего имущества</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многоквартирных домах</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правового режима функционирования специальных счетов;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правового статуса владельца специального счета;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деятельности региональных операторов.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практический запуск механизмов льготного кредитования капитального ремонта, в том числе при государственной поддержке;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выработка дополнительных мер, направленных на стимулирование развития специальных счетов, в том числе на: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consultantplus://offline/ref=14F3478DF577336F3DE511C8812578F36B78F125BC5BEC0C50AE6DB54D93DD605BA452A7E7C20FF5l6PFH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порядок</w:t>
      </w:r>
      <w:r>
        <w:rPr>
          <w:rFonts w:ascii="Arial" w:hAnsi="Arial" w:cs="Arial"/>
          <w:sz w:val="20"/>
          <w:szCs w:val="20"/>
        </w:rPr>
        <w:fldChar w:fldCharType="end"/>
      </w:r>
      <w:r>
        <w:rPr>
          <w:rFonts w:ascii="Arial" w:hAnsi="Arial" w:cs="Arial"/>
          <w:sz w:val="20"/>
          <w:szCs w:val="20"/>
        </w:rP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rPr>
          <w:rFonts w:ascii="Arial" w:hAnsi="Arial" w:cs="Arial"/>
          <w:sz w:val="20"/>
          <w:szCs w:val="20"/>
        </w:rPr>
        <w:t>вандалозащищенности</w:t>
      </w:r>
      <w:proofErr w:type="spellEnd"/>
      <w:r>
        <w:rPr>
          <w:rFonts w:ascii="Arial" w:hAnsi="Arial" w:cs="Arial"/>
          <w:sz w:val="20"/>
          <w:szCs w:val="20"/>
        </w:rPr>
        <w:t xml:space="preserve">,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и пожарной безопасности лифтового оборудования.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Основой системы государственного регулирования в сфере лифтового хозяйства является технический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consultantplus://offline/ref=14F3478DF577336F3DE511C8812578F36B72F124B859EC0C50AE6DB54D93DD605BA452A7E7C20FF0l6P7H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регламент</w:t>
      </w:r>
      <w:r>
        <w:rPr>
          <w:rFonts w:ascii="Arial" w:hAnsi="Arial" w:cs="Arial"/>
          <w:sz w:val="20"/>
          <w:szCs w:val="20"/>
        </w:rPr>
        <w:fldChar w:fldCharType="end"/>
      </w:r>
      <w:r>
        <w:rPr>
          <w:rFonts w:ascii="Arial" w:hAnsi="Arial" w:cs="Arial"/>
          <w:sz w:val="20"/>
          <w:szCs w:val="20"/>
        </w:rP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rPr>
          <w:rFonts w:ascii="Arial" w:hAnsi="Arial" w:cs="Arial"/>
          <w:sz w:val="20"/>
          <w:szCs w:val="20"/>
        </w:rPr>
        <w:t>импортозамещения</w:t>
      </w:r>
      <w:proofErr w:type="spellEnd"/>
      <w:r>
        <w:rPr>
          <w:rFonts w:ascii="Arial" w:hAnsi="Arial" w:cs="Arial"/>
          <w:sz w:val="20"/>
          <w:szCs w:val="20"/>
        </w:rPr>
        <w:t xml:space="preserve"> за счет применения лифтов отечественных производителей.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отслеживание качества планирования и динамики реализации региональных программ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контроль уровня стоимости проводимого капитального ремонта по определенному виду работ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информационную открытость и прозрачность реализации региональных программ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proofErr w:type="gramStart"/>
      <w:r>
        <w:rPr>
          <w:rFonts w:ascii="Arial" w:hAnsi="Arial" w:cs="Arial"/>
          <w:sz w:val="20"/>
          <w:szCs w:val="20"/>
        </w:rPr>
        <w:t>результатам</w:t>
      </w:r>
      <w:proofErr w:type="gramEnd"/>
      <w:r>
        <w:rPr>
          <w:rFonts w:ascii="Arial" w:hAnsi="Arial" w:cs="Arial"/>
          <w:sz w:val="20"/>
          <w:szCs w:val="20"/>
        </w:rP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consultantplus://offline/ref=14F3478DF577336F3DE511C8812578F36871F822BC5AEC0C50AE6DB54Dl9P3H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кодексом</w:t>
      </w:r>
      <w:r>
        <w:rPr>
          <w:rFonts w:ascii="Arial" w:hAnsi="Arial" w:cs="Arial"/>
          <w:sz w:val="20"/>
          <w:szCs w:val="20"/>
        </w:rPr>
        <w:fldChar w:fldCharType="end"/>
      </w:r>
      <w:r>
        <w:rPr>
          <w:rFonts w:ascii="Arial" w:hAnsi="Arial" w:cs="Arial"/>
          <w:sz w:val="20"/>
          <w:szCs w:val="20"/>
        </w:rP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Ликвидация аварийного жилищного фонда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Эффективное решение поставленной задачи обеспечивается за счет реализованных в 2014 году следующих мер:</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утверждены четкие показатели общей площади и количество граждан, подлежащих переселению, для каждого субъекта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повышения эффективности ликвидации аварийного жилищного фонда планируется: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усилить контроль за качеством жилья, строящегося в рамках программ переселения граждан из аварийного жилищного фонда, путем: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усилить контроль за обеспечением со стороны субъектов Российской Федерации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мероприятий по переселению граждан из аварийного жилья.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w:t>
      </w:r>
      <w:r>
        <w:rPr>
          <w:rFonts w:ascii="Arial" w:hAnsi="Arial" w:cs="Arial"/>
          <w:sz w:val="20"/>
          <w:szCs w:val="20"/>
        </w:rPr>
        <w:lastRenderedPageBreak/>
        <w:t>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Модернизация объектов жилищно-коммунального хозяйства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модернизации и повышения энергетической эффективности объектов жилищно-коммунального хозяйства будут решены следующие задачи: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благоприятных условий для привлечения частных инвестиций в сферу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ликвидация неэффективного управления объектами жилищно-коммунального хозяйства, осуществляемого унитарными предприятиями;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r>
        <w:rPr>
          <w:rFonts w:ascii="Arial" w:hAnsi="Arial" w:cs="Arial"/>
          <w:sz w:val="20"/>
          <w:szCs w:val="20"/>
        </w:rPr>
        <w:fldChar w:fldCharType="begin"/>
      </w:r>
      <w:r>
        <w:rPr>
          <w:rFonts w:ascii="Arial" w:hAnsi="Arial" w:cs="Arial"/>
          <w:sz w:val="20"/>
          <w:szCs w:val="20"/>
        </w:rPr>
        <w:instrText xml:space="preserve">HYPERLINK consultantplus://offline/ref=14F3478DF577336F3DE50FC6852578F36375F926BE55B10658F761B74A9C82775CED5EA6E7C20ElFP7H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стратегией</w:t>
      </w:r>
      <w:r>
        <w:rPr>
          <w:rFonts w:ascii="Arial" w:hAnsi="Arial" w:cs="Arial"/>
          <w:sz w:val="20"/>
          <w:szCs w:val="20"/>
        </w:rPr>
        <w:fldChar w:fldCharType="end"/>
      </w:r>
      <w:r>
        <w:rPr>
          <w:rFonts w:ascii="Arial" w:hAnsi="Arial" w:cs="Arial"/>
          <w:sz w:val="20"/>
          <w:szCs w:val="20"/>
        </w:rPr>
        <w:t xml:space="preserve"> России на период до 2030 года, утвержденной распоряжением Правительства Российской Федерации от 13 ноября 2009 г. N 1715-р, </w:t>
      </w:r>
      <w:r>
        <w:rPr>
          <w:rFonts w:ascii="Arial" w:hAnsi="Arial" w:cs="Arial"/>
          <w:sz w:val="20"/>
          <w:szCs w:val="20"/>
        </w:rPr>
        <w:fldChar w:fldCharType="begin"/>
      </w:r>
      <w:r>
        <w:rPr>
          <w:rFonts w:ascii="Arial" w:hAnsi="Arial" w:cs="Arial"/>
          <w:sz w:val="20"/>
          <w:szCs w:val="20"/>
        </w:rPr>
        <w:instrText xml:space="preserve">HYPERLINK consultantplus://offline/ref=14F3478DF577336F3DE50FC6852578F36B79FA27BF5AEC0C50AE6DB54D93DD605BA452A7E7C20FF5l6PFH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Стратегией</w:t>
      </w:r>
      <w:r>
        <w:rPr>
          <w:rFonts w:ascii="Arial" w:hAnsi="Arial" w:cs="Arial"/>
          <w:sz w:val="20"/>
          <w:szCs w:val="20"/>
        </w:rPr>
        <w:fldChar w:fldCharType="end"/>
      </w:r>
      <w:r>
        <w:rPr>
          <w:rFonts w:ascii="Arial" w:hAnsi="Arial" w:cs="Arial"/>
          <w:sz w:val="20"/>
          <w:szCs w:val="20"/>
        </w:rP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rPr>
          <w:rFonts w:ascii="Arial" w:hAnsi="Arial" w:cs="Arial"/>
          <w:sz w:val="20"/>
          <w:szCs w:val="20"/>
        </w:rPr>
        <w:t>Энергосбытовых</w:t>
      </w:r>
      <w:proofErr w:type="spellEnd"/>
      <w:r>
        <w:rPr>
          <w:rFonts w:ascii="Arial" w:hAnsi="Arial" w:cs="Arial"/>
          <w:sz w:val="20"/>
          <w:szCs w:val="20"/>
        </w:rP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w:t>
      </w:r>
      <w:r>
        <w:rPr>
          <w:rFonts w:ascii="Arial" w:hAnsi="Arial" w:cs="Arial"/>
          <w:sz w:val="20"/>
          <w:szCs w:val="20"/>
        </w:rPr>
        <w:lastRenderedPageBreak/>
        <w:t>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rPr>
          <w:rFonts w:ascii="Arial" w:hAnsi="Arial" w:cs="Arial"/>
          <w:sz w:val="20"/>
          <w:szCs w:val="20"/>
        </w:rPr>
        <w:t>концедентом</w:t>
      </w:r>
      <w:proofErr w:type="spellEnd"/>
      <w:r>
        <w:rPr>
          <w:rFonts w:ascii="Arial" w:hAnsi="Arial" w:cs="Arial"/>
          <w:sz w:val="20"/>
          <w:szCs w:val="20"/>
        </w:rP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Одновременно внесены изменения в отраслевое законодательство, синхронизирующие нормы Федерального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consultantplus://offline/ref=14F3478DF577336F3DE511C8812578F36B78F825B25EEC0C50AE6DB54Dl9P3H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закона</w:t>
      </w:r>
      <w:r>
        <w:rPr>
          <w:rFonts w:ascii="Arial" w:hAnsi="Arial" w:cs="Arial"/>
          <w:sz w:val="20"/>
          <w:szCs w:val="20"/>
        </w:rPr>
        <w:fldChar w:fldCharType="end"/>
      </w:r>
      <w:r>
        <w:rPr>
          <w:rFonts w:ascii="Arial" w:hAnsi="Arial" w:cs="Arial"/>
          <w:sz w:val="20"/>
          <w:szCs w:val="20"/>
        </w:rP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consultantplus://offline/ref=14F3478DF577336F3DE511C8812578F36B76FD20B858EC0C50AE6DB54Dl9P3H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20 января 2015 г. N 27 "О внесении изменений в некоторые акты Правительства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r>
        <w:rPr>
          <w:rFonts w:ascii="Arial" w:hAnsi="Arial" w:cs="Arial"/>
          <w:sz w:val="20"/>
          <w:szCs w:val="20"/>
        </w:rPr>
        <w:fldChar w:fldCharType="begin"/>
      </w:r>
      <w:r>
        <w:rPr>
          <w:rFonts w:ascii="Arial" w:hAnsi="Arial" w:cs="Arial"/>
          <w:sz w:val="20"/>
          <w:szCs w:val="20"/>
        </w:rPr>
        <w:instrText xml:space="preserve">HYPERLINK consultantplus://offline/ref=14F3478DF577336F3DE50FC6852578F36B76F023BB5CEC0C50AE6DB54Dl9P3H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w:t>
      </w:r>
      <w:r>
        <w:rPr>
          <w:rFonts w:ascii="Arial" w:hAnsi="Arial" w:cs="Arial"/>
          <w:sz w:val="20"/>
          <w:szCs w:val="20"/>
        </w:rPr>
        <w:lastRenderedPageBreak/>
        <w:t>государственной или муниципальной собственности (</w:t>
      </w:r>
      <w:r>
        <w:rPr>
          <w:rFonts w:ascii="Arial" w:hAnsi="Arial" w:cs="Arial"/>
          <w:sz w:val="20"/>
          <w:szCs w:val="20"/>
        </w:rPr>
        <w:fldChar w:fldCharType="begin"/>
      </w:r>
      <w:r>
        <w:rPr>
          <w:rFonts w:ascii="Arial" w:hAnsi="Arial" w:cs="Arial"/>
          <w:sz w:val="20"/>
          <w:szCs w:val="20"/>
        </w:rPr>
        <w:instrText xml:space="preserve">HYPERLINK consultantplus://offline/ref=14F3478DF577336F3DE50FC6852578F36B79F122BF5EEC0C50AE6DB54Dl9P3H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Министерства экономического развития Российской Федерации от 1 октября 2013 г. N 563);</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consultantplus://offline/ref=14F3478DF577336F3DE511C8812578F36B77FD22B85CEC0C50AE6DB54Dl9P3H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consultantplus://offline/ref=14F3478DF577336F3DE511C8812578F36B74F925BC57EC0C50AE6DB54Dl9P3H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субъектами Российской Федерации утвержденных во исполнение Федерального </w:t>
      </w:r>
      <w:r>
        <w:rPr>
          <w:rFonts w:ascii="Arial" w:hAnsi="Arial" w:cs="Arial"/>
          <w:sz w:val="20"/>
          <w:szCs w:val="20"/>
        </w:rPr>
        <w:fldChar w:fldCharType="begin"/>
      </w:r>
      <w:r>
        <w:rPr>
          <w:rFonts w:ascii="Arial" w:hAnsi="Arial" w:cs="Arial"/>
          <w:sz w:val="20"/>
          <w:szCs w:val="20"/>
        </w:rPr>
        <w:instrText xml:space="preserve">HYPERLINK consultantplus://offline/ref=14F3478DF577336F3DE511C8812578F36B79FB2ABF57EC0C50AE6DB54Dl9P3H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закона</w:t>
      </w:r>
      <w:r>
        <w:rPr>
          <w:rFonts w:ascii="Arial" w:hAnsi="Arial" w:cs="Arial"/>
          <w:sz w:val="20"/>
          <w:szCs w:val="20"/>
        </w:rPr>
        <w:fldChar w:fldCharType="end"/>
      </w:r>
      <w:r>
        <w:rPr>
          <w:rFonts w:ascii="Arial" w:hAnsi="Arial" w:cs="Arial"/>
          <w:sz w:val="20"/>
          <w:szCs w:val="20"/>
        </w:rP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отношении </w:t>
      </w:r>
      <w:proofErr w:type="spellStart"/>
      <w:r>
        <w:rPr>
          <w:rFonts w:ascii="Arial" w:hAnsi="Arial" w:cs="Arial"/>
          <w:sz w:val="20"/>
          <w:szCs w:val="20"/>
        </w:rPr>
        <w:t>инвестиционно</w:t>
      </w:r>
      <w:proofErr w:type="spellEnd"/>
      <w:r>
        <w:rPr>
          <w:rFonts w:ascii="Arial" w:hAnsi="Arial" w:cs="Arial"/>
          <w:sz w:val="20"/>
          <w:szCs w:val="20"/>
        </w:rP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6" w:history="1">
        <w:r>
          <w:rPr>
            <w:rFonts w:ascii="Arial" w:hAnsi="Arial" w:cs="Arial"/>
            <w:color w:val="0000FF"/>
            <w:sz w:val="20"/>
            <w:szCs w:val="20"/>
          </w:rPr>
          <w:t>закон</w:t>
        </w:r>
      </w:hyperlink>
      <w:r>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 государственно-частном партнерстве, </w:t>
      </w:r>
      <w:proofErr w:type="spellStart"/>
      <w:r>
        <w:rPr>
          <w:rFonts w:ascii="Arial" w:hAnsi="Arial" w:cs="Arial"/>
          <w:sz w:val="20"/>
          <w:szCs w:val="20"/>
        </w:rPr>
        <w:t>муниципально</w:t>
      </w:r>
      <w:proofErr w:type="spellEnd"/>
      <w:r>
        <w:rPr>
          <w:rFonts w:ascii="Arial" w:hAnsi="Arial" w:cs="Arial"/>
          <w:sz w:val="20"/>
          <w:szCs w:val="20"/>
        </w:rPr>
        <w:t>-частном партнерстве в Российской Федерации и внесении изменений в отдельные законодательные акты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доля долгосрочных тарифных решений в общем количестве тарифных решений в сферах теплоснабжения, водоснабжения и водоотведения;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доля заемных средств в общем объеме капитальных вложений в системы теплоснабжения, водоснабжения, водоотведения и очистки сточных вод;</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w:t>
      </w:r>
      <w:r>
        <w:rPr>
          <w:rFonts w:ascii="Arial" w:hAnsi="Arial" w:cs="Arial"/>
          <w:sz w:val="20"/>
          <w:szCs w:val="20"/>
        </w:rPr>
        <w:lastRenderedPageBreak/>
        <w:t>процентов, на основе концессионных соглашений объектов жилищно-коммунального хозяйства всех неэффективных унитарных предприятий.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среднесрочной перспективе (до 2017 года) необходимо обеспечить увеличение доли заемных средств в общем объеме капитальных вложений.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Холодное водоснабжение и водоотведение</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этих мер позволит:</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увеличить объем подачи качественной питьевой воды, соответствующей санитарно-эпидемиологическим нормам;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увеличить долю сточных вод, проходящих очистку на биологических очистных сооружениях, отвечающих установленным требованиям;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снизить технологические потери воды и сточных вод при их транспортировке по сетям;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rPr>
          <w:rFonts w:ascii="Arial" w:hAnsi="Arial" w:cs="Arial"/>
          <w:sz w:val="20"/>
          <w:szCs w:val="20"/>
        </w:rPr>
        <w:t>референтных</w:t>
      </w:r>
      <w:proofErr w:type="spellEnd"/>
      <w:r>
        <w:rPr>
          <w:rFonts w:ascii="Arial" w:hAnsi="Arial" w:cs="Arial"/>
          <w:sz w:val="20"/>
          <w:szCs w:val="20"/>
        </w:rPr>
        <w:t xml:space="preserve"> цен на товары, работы и услуги, приобретаемые для нужд регулируемой организации.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Горячее водоснабжение</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9" w:history="1">
        <w:r>
          <w:rPr>
            <w:rFonts w:ascii="Arial" w:hAnsi="Arial" w:cs="Arial"/>
            <w:color w:val="0000FF"/>
            <w:sz w:val="20"/>
            <w:szCs w:val="20"/>
          </w:rPr>
          <w:t>статью 29</w:t>
        </w:r>
      </w:hyperlink>
      <w:r>
        <w:rPr>
          <w:rFonts w:ascii="Arial" w:hAnsi="Arial" w:cs="Arial"/>
          <w:sz w:val="20"/>
          <w:szCs w:val="20"/>
        </w:rP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rPr>
          <w:rFonts w:ascii="Arial" w:hAnsi="Arial" w:cs="Arial"/>
          <w:sz w:val="20"/>
          <w:szCs w:val="20"/>
        </w:rPr>
        <w:t>энергосервисных</w:t>
      </w:r>
      <w:proofErr w:type="spellEnd"/>
      <w:r>
        <w:rPr>
          <w:rFonts w:ascii="Arial" w:hAnsi="Arial" w:cs="Arial"/>
          <w:sz w:val="20"/>
          <w:szCs w:val="20"/>
        </w:rPr>
        <w:t xml:space="preserve"> договоров. Вместе с тем необходимо отметить, что работы по </w:t>
      </w:r>
      <w:proofErr w:type="spellStart"/>
      <w:r>
        <w:rPr>
          <w:rFonts w:ascii="Arial" w:hAnsi="Arial" w:cs="Arial"/>
          <w:sz w:val="20"/>
          <w:szCs w:val="20"/>
        </w:rPr>
        <w:t>энергосервисным</w:t>
      </w:r>
      <w:proofErr w:type="spellEnd"/>
      <w:r>
        <w:rPr>
          <w:rFonts w:ascii="Arial" w:hAnsi="Arial" w:cs="Arial"/>
          <w:sz w:val="20"/>
          <w:szCs w:val="20"/>
        </w:rP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этих мер позволит:</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снизить технологические потери горячей воды при их транспортировке по сетям;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rPr>
          <w:rFonts w:ascii="Arial" w:hAnsi="Arial" w:cs="Arial"/>
          <w:sz w:val="20"/>
          <w:szCs w:val="20"/>
        </w:rPr>
        <w:t>референтных</w:t>
      </w:r>
      <w:proofErr w:type="spellEnd"/>
      <w:r>
        <w:rPr>
          <w:rFonts w:ascii="Arial" w:hAnsi="Arial" w:cs="Arial"/>
          <w:sz w:val="20"/>
          <w:szCs w:val="20"/>
        </w:rPr>
        <w:t xml:space="preserve"> цен на товары, работы, услуги, приобретаемые для нужд регулируемой организации.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Теплоснабжение</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Основой системы государственного регулирования в сфере теплоснабжения являются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 теплоснабжении" и принятые в его исполнение нормативные правовые акты.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Будут определены на долгосрочный период регулирования, составляющий не менее 3 лет, показатели надежности, качества и </w:t>
      </w:r>
      <w:proofErr w:type="spellStart"/>
      <w:r>
        <w:rPr>
          <w:rFonts w:ascii="Arial" w:hAnsi="Arial" w:cs="Arial"/>
          <w:sz w:val="20"/>
          <w:szCs w:val="20"/>
        </w:rPr>
        <w:t>энергоэффективности</w:t>
      </w:r>
      <w:proofErr w:type="spellEnd"/>
      <w:r>
        <w:rPr>
          <w:rFonts w:ascii="Arial" w:hAnsi="Arial" w:cs="Arial"/>
          <w:sz w:val="20"/>
          <w:szCs w:val="20"/>
        </w:rPr>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w:t>
      </w:r>
      <w:r>
        <w:rPr>
          <w:rFonts w:ascii="Arial" w:hAnsi="Arial" w:cs="Arial"/>
          <w:sz w:val="20"/>
          <w:szCs w:val="20"/>
        </w:rPr>
        <w:lastRenderedPageBreak/>
        <w:t>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rPr>
          <w:rFonts w:ascii="Arial" w:hAnsi="Arial" w:cs="Arial"/>
          <w:sz w:val="20"/>
          <w:szCs w:val="20"/>
        </w:rPr>
        <w:t>энергопринимающих</w:t>
      </w:r>
      <w:proofErr w:type="spellEnd"/>
      <w:r>
        <w:rPr>
          <w:rFonts w:ascii="Arial" w:hAnsi="Arial" w:cs="Arial"/>
          <w:sz w:val="20"/>
          <w:szCs w:val="20"/>
        </w:rPr>
        <w:t xml:space="preserve"> объектов потребителей тепловой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предотвращение прогрессирующего физического и морального износа основных производственных фондов в сфере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стимулирование энергосбережения и повышения энергетической эффективности в сфере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эффективного стратегического развития и технического управления системами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повышение управляемости систем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Оценка реализации указанных мер осуществляется с использованием следующих показателей: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уровень технологических потерь тепловой энергии при транспортировке по сетям;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количество аварий и чрезвычайных ситуаций на системах теплоснабжения (исключение составляют ситуации природного характера);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удельный расход топлива на производство единицы тепловой энергии, отпускаемой с коллекторов источников тепловой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Важнейшими целями в сфере теплоснабжения являются: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Кроме того, в соответствии с </w:t>
      </w:r>
      <w:hyperlink r:id="rId12"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Одним из возможных вариантов регулирования рынка тепловой энергии является метод расчета "альтернативной котельной".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согласия главы администрации муниципального образования на внедрение метода расчета "альтернативной котельной";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наличие утвержденных в установленном порядке в муниципальном образовании схем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Вместе с тем необходимо отметить, что в соответствии с </w:t>
      </w:r>
      <w:hyperlink r:id="rId13" w:history="1">
        <w:r>
          <w:rPr>
            <w:rFonts w:ascii="Arial" w:hAnsi="Arial" w:cs="Arial"/>
            <w:color w:val="0000FF"/>
            <w:sz w:val="20"/>
            <w:szCs w:val="20"/>
          </w:rPr>
          <w:t>пунктом 24</w:t>
        </w:r>
      </w:hyperlink>
      <w:r>
        <w:rPr>
          <w:rFonts w:ascii="Arial" w:hAnsi="Arial" w:cs="Arial"/>
          <w:sz w:val="20"/>
          <w:szCs w:val="20"/>
        </w:rP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w:t>
      </w:r>
      <w:r>
        <w:rPr>
          <w:rFonts w:ascii="Arial" w:hAnsi="Arial" w:cs="Arial"/>
          <w:sz w:val="20"/>
          <w:szCs w:val="20"/>
        </w:rPr>
        <w:lastRenderedPageBreak/>
        <w:t>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Обращение с твердыми коммунальными отходами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15" w:history="1">
        <w:r>
          <w:rPr>
            <w:rFonts w:ascii="Arial" w:hAnsi="Arial" w:cs="Arial"/>
            <w:color w:val="0000FF"/>
            <w:sz w:val="20"/>
            <w:szCs w:val="20"/>
          </w:rPr>
          <w:t>закон</w:t>
        </w:r>
      </w:hyperlink>
      <w:r>
        <w:rPr>
          <w:rFonts w:ascii="Arial" w:hAnsi="Arial" w:cs="Arial"/>
          <w:sz w:val="20"/>
          <w:szCs w:val="20"/>
        </w:rP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 1 января 2016 г. обращение с твердыми коммунальными отходами отнесено к коммунальным услугам и исключено из состава жилищных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16" w:history="1">
        <w:r>
          <w:rPr>
            <w:rFonts w:ascii="Arial" w:hAnsi="Arial" w:cs="Arial"/>
            <w:color w:val="0000FF"/>
            <w:sz w:val="20"/>
            <w:szCs w:val="20"/>
          </w:rPr>
          <w:t>распоряжение</w:t>
        </w:r>
      </w:hyperlink>
      <w:r>
        <w:rPr>
          <w:rFonts w:ascii="Arial" w:hAnsi="Arial" w:cs="Arial"/>
          <w:sz w:val="20"/>
          <w:szCs w:val="20"/>
        </w:rP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Государственная информационная система</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жилищно-коммунального хозяйства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 государственной информационной системе жилищно-коммунального хозяйства" и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 внесении </w:t>
      </w:r>
      <w:r>
        <w:rPr>
          <w:rFonts w:ascii="Arial" w:hAnsi="Arial" w:cs="Arial"/>
          <w:sz w:val="20"/>
          <w:szCs w:val="20"/>
        </w:rPr>
        <w:lastRenderedPageBreak/>
        <w:t>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Государственная информационная система жилищно-коммунального хозяйства позволяет:</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жилищно-коммунального хозяйства предусматривается: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новостей и иной полезной информации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размещение </w:t>
      </w:r>
      <w:proofErr w:type="gramStart"/>
      <w:r>
        <w:rPr>
          <w:rFonts w:ascii="Arial" w:hAnsi="Arial" w:cs="Arial"/>
          <w:sz w:val="20"/>
          <w:szCs w:val="20"/>
        </w:rPr>
        <w:t>реестров</w:t>
      </w:r>
      <w:proofErr w:type="gramEnd"/>
      <w:r>
        <w:rPr>
          <w:rFonts w:ascii="Arial" w:hAnsi="Arial" w:cs="Arial"/>
          <w:sz w:val="20"/>
          <w:szCs w:val="20"/>
        </w:rP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реестров объектов жилищного фонда;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реестров лицензий управляющих организаций и реестров проверок указанных организаций;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доступ граждан к информации об организациях, осуществляющих прием платы за жилищно-коммунальные услуги без комиссии;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осуществление гражданами, управляющими и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введение единых лицевых счетов, призванных унифицировать идентификацию помещений потребителей жилищно-коммунальных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Государственная информационная система жилищно-коммунального хозяйства станет удобным инструментом для управляющих и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rPr>
          <w:rFonts w:ascii="Arial" w:hAnsi="Arial" w:cs="Arial"/>
          <w:sz w:val="20"/>
          <w:szCs w:val="20"/>
        </w:rPr>
        <w:t>ресурсоснабжающие</w:t>
      </w:r>
      <w:proofErr w:type="spellEnd"/>
      <w:r>
        <w:rPr>
          <w:rFonts w:ascii="Arial" w:hAnsi="Arial" w:cs="Arial"/>
          <w:sz w:val="20"/>
          <w:szCs w:val="20"/>
        </w:rPr>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rPr>
          <w:rFonts w:ascii="Arial" w:hAnsi="Arial" w:cs="Arial"/>
          <w:sz w:val="20"/>
          <w:szCs w:val="20"/>
        </w:rPr>
        <w:t>ресурсоснабжающих</w:t>
      </w:r>
      <w:proofErr w:type="spellEnd"/>
      <w:r>
        <w:rPr>
          <w:rFonts w:ascii="Arial" w:hAnsi="Arial" w:cs="Arial"/>
          <w:sz w:val="20"/>
          <w:szCs w:val="20"/>
        </w:rP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 Социальная политика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реализации указанных мер в Российской Федерации определены: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мониторинга и контроля за соблюдением предельных индексов и индексов изменения размера платы в субъектах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 и порядок согласования предельных индексов представительными органами муниципальных образований;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w:t>
      </w:r>
      <w:r>
        <w:rPr>
          <w:rFonts w:ascii="Arial" w:hAnsi="Arial" w:cs="Arial"/>
          <w:sz w:val="20"/>
          <w:szCs w:val="20"/>
        </w:rPr>
        <w:lastRenderedPageBreak/>
        <w:t>коммунальные услуги (</w:t>
      </w:r>
      <w:hyperlink r:id="rId2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Распоряжением Правительства Российской Федерации от 1 ноября 2014 г. N 2222-р утверждены </w:t>
      </w:r>
      <w:hyperlink r:id="rId21" w:history="1">
        <w:r>
          <w:rPr>
            <w:rFonts w:ascii="Arial" w:hAnsi="Arial" w:cs="Arial"/>
            <w:color w:val="0000FF"/>
            <w:sz w:val="20"/>
            <w:szCs w:val="20"/>
          </w:rPr>
          <w:t>индексы</w:t>
        </w:r>
      </w:hyperlink>
      <w:r>
        <w:rPr>
          <w:rFonts w:ascii="Arial" w:hAnsi="Arial" w:cs="Arial"/>
          <w:sz w:val="20"/>
          <w:szCs w:val="20"/>
        </w:rP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необходимость доведения уровня оплаты коммунальных услуг населением до 100 процентов экономически обоснованного уровня тарифов;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доведение тарифов до экономически обоснованного уровня;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имеющим низкие доходы, в соответствии со </w:t>
      </w:r>
      <w:hyperlink r:id="rId22" w:history="1">
        <w:r>
          <w:rPr>
            <w:rFonts w:ascii="Arial" w:hAnsi="Arial" w:cs="Arial"/>
            <w:color w:val="0000FF"/>
            <w:sz w:val="20"/>
            <w:szCs w:val="20"/>
          </w:rPr>
          <w:t>статьей 159</w:t>
        </w:r>
      </w:hyperlink>
      <w:r>
        <w:rPr>
          <w:rFonts w:ascii="Arial" w:hAnsi="Arial" w:cs="Arial"/>
          <w:sz w:val="20"/>
          <w:szCs w:val="20"/>
        </w:rP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 Кадровая политика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Распоряжением Правительства Российской Федерации от 11 ноября 2013 г. N 2077-р утвержден </w:t>
      </w:r>
      <w:hyperlink r:id="rId23" w:history="1">
        <w:r>
          <w:rPr>
            <w:rFonts w:ascii="Arial" w:hAnsi="Arial" w:cs="Arial"/>
            <w:color w:val="0000FF"/>
            <w:sz w:val="20"/>
            <w:szCs w:val="20"/>
          </w:rPr>
          <w:t>план</w:t>
        </w:r>
      </w:hyperlink>
      <w:r>
        <w:rPr>
          <w:rFonts w:ascii="Arial" w:hAnsi="Arial" w:cs="Arial"/>
          <w:sz w:val="20"/>
          <w:szCs w:val="20"/>
        </w:rP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2014 году во исполнение </w:t>
      </w:r>
      <w:hyperlink r:id="rId24" w:history="1">
        <w:r>
          <w:rPr>
            <w:rFonts w:ascii="Arial" w:hAnsi="Arial" w:cs="Arial"/>
            <w:color w:val="0000FF"/>
            <w:sz w:val="20"/>
            <w:szCs w:val="20"/>
          </w:rPr>
          <w:t>плана</w:t>
        </w:r>
      </w:hyperlink>
      <w:r>
        <w:rPr>
          <w:rFonts w:ascii="Arial" w:hAnsi="Arial" w:cs="Arial"/>
          <w:sz w:val="20"/>
          <w:szCs w:val="20"/>
        </w:rP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дефицит высококвалифицированных кадров рабочих и специалистов;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недостаточный уровень подготовки менеджмента;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сбалансированного регионального (муниципального) заказа на профессиональную подготовку;</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слабое материально-техническое и финансовое обеспечение образовательных организаций;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отсутствие системы непрерывного профессионального образования;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непривлекательность профессий и специальностей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малоэффективная </w:t>
      </w:r>
      <w:proofErr w:type="spellStart"/>
      <w:r>
        <w:rPr>
          <w:rFonts w:ascii="Arial" w:hAnsi="Arial" w:cs="Arial"/>
          <w:sz w:val="20"/>
          <w:szCs w:val="20"/>
        </w:rPr>
        <w:t>профориентационная</w:t>
      </w:r>
      <w:proofErr w:type="spellEnd"/>
      <w:r>
        <w:rPr>
          <w:rFonts w:ascii="Arial" w:hAnsi="Arial" w:cs="Arial"/>
          <w:sz w:val="20"/>
          <w:szCs w:val="20"/>
        </w:rPr>
        <w:t xml:space="preserve"> работа среди учащихся общеобразовательных организаций.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Вместе с тем приоритетными задачами в рамках реализации Стратегии являются: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реализация программы целевого приема в образовательные организации, в том числе на программы прикладного </w:t>
      </w:r>
      <w:proofErr w:type="spellStart"/>
      <w:r>
        <w:rPr>
          <w:rFonts w:ascii="Arial" w:hAnsi="Arial" w:cs="Arial"/>
          <w:sz w:val="20"/>
          <w:szCs w:val="20"/>
        </w:rPr>
        <w:t>бакалавриата</w:t>
      </w:r>
      <w:proofErr w:type="spellEnd"/>
      <w:r>
        <w:rPr>
          <w:rFonts w:ascii="Arial" w:hAnsi="Arial" w:cs="Arial"/>
          <w:sz w:val="20"/>
          <w:szCs w:val="20"/>
        </w:rPr>
        <w:t xml:space="preserve">, на основании договоров о целевом обучении в соответствии со </w:t>
      </w:r>
      <w:hyperlink r:id="rId25" w:history="1">
        <w:r>
          <w:rPr>
            <w:rFonts w:ascii="Arial" w:hAnsi="Arial" w:cs="Arial"/>
            <w:color w:val="0000FF"/>
            <w:sz w:val="20"/>
            <w:szCs w:val="20"/>
          </w:rPr>
          <w:t>статьей 56</w:t>
        </w:r>
      </w:hyperlink>
      <w:r>
        <w:rPr>
          <w:rFonts w:ascii="Arial" w:hAnsi="Arial" w:cs="Arial"/>
          <w:sz w:val="20"/>
          <w:szCs w:val="20"/>
        </w:rPr>
        <w:t xml:space="preserve"> Федерального закона "Об образовании в Российской Федерации", что обеспечит адресную подготовку специалистов;</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26" w:history="1">
        <w:r>
          <w:rPr>
            <w:rFonts w:ascii="Arial" w:hAnsi="Arial" w:cs="Arial"/>
            <w:color w:val="0000FF"/>
            <w:sz w:val="20"/>
            <w:szCs w:val="20"/>
          </w:rPr>
          <w:t>статьей 56</w:t>
        </w:r>
      </w:hyperlink>
      <w:r>
        <w:rPr>
          <w:rFonts w:ascii="Arial" w:hAnsi="Arial" w:cs="Arial"/>
          <w:sz w:val="20"/>
          <w:szCs w:val="20"/>
        </w:rPr>
        <w:t xml:space="preserve"> Федерального закона "Об образовании в Российской Федерации";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 Общественный контроль</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Кроме того, предполагается разработка и запуск системы </w:t>
      </w:r>
      <w:proofErr w:type="spellStart"/>
      <w:r>
        <w:rPr>
          <w:rFonts w:ascii="Arial" w:hAnsi="Arial" w:cs="Arial"/>
          <w:sz w:val="20"/>
          <w:szCs w:val="20"/>
        </w:rPr>
        <w:t>рейтингования</w:t>
      </w:r>
      <w:proofErr w:type="spellEnd"/>
      <w:r>
        <w:rPr>
          <w:rFonts w:ascii="Arial" w:hAnsi="Arial" w:cs="Arial"/>
          <w:sz w:val="20"/>
          <w:szCs w:val="20"/>
        </w:rPr>
        <w:t xml:space="preserve"> управляющих организаций на основе ряда факторов, в которых преобладающее значение имеет мнение граждан.</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rPr>
          <w:rFonts w:ascii="Arial" w:hAnsi="Arial" w:cs="Arial"/>
          <w:sz w:val="20"/>
          <w:szCs w:val="20"/>
        </w:rPr>
        <w:t>аффилированности</w:t>
      </w:r>
      <w:proofErr w:type="spellEnd"/>
      <w:r>
        <w:rPr>
          <w:rFonts w:ascii="Arial" w:hAnsi="Arial" w:cs="Arial"/>
          <w:sz w:val="20"/>
          <w:szCs w:val="20"/>
        </w:rPr>
        <w:t xml:space="preserve"> их с представителями органов власти.</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Заключительные положения</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Стратегии планируется в 2016 - 2020 годах.</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Целевые </w:t>
      </w:r>
      <w:hyperlink w:anchor="Par474" w:history="1">
        <w:r>
          <w:rPr>
            <w:rFonts w:ascii="Arial" w:hAnsi="Arial" w:cs="Arial"/>
            <w:color w:val="0000FF"/>
            <w:sz w:val="20"/>
            <w:szCs w:val="20"/>
          </w:rPr>
          <w:t>показатели</w:t>
        </w:r>
      </w:hyperlink>
      <w:r>
        <w:rPr>
          <w:rFonts w:ascii="Arial" w:hAnsi="Arial" w:cs="Arial"/>
          <w:sz w:val="20"/>
          <w:szCs w:val="20"/>
        </w:rPr>
        <w:t xml:space="preserve"> развития жилищно-коммунального хозяйства в Российской Федерации до 2020 года представлены в приложении.</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Стратегии развития</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жилищно-коммунального хозяйства</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Российской Федерации</w:t>
      </w:r>
    </w:p>
    <w:p w:rsidR="00F33733" w:rsidRDefault="00F33733" w:rsidP="00F337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период до 2020 года</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center"/>
        <w:rPr>
          <w:rFonts w:ascii="Arial" w:hAnsi="Arial" w:cs="Arial"/>
          <w:sz w:val="20"/>
          <w:szCs w:val="20"/>
        </w:rPr>
      </w:pPr>
      <w:bookmarkStart w:id="2" w:name="Par474"/>
      <w:bookmarkEnd w:id="2"/>
      <w:r>
        <w:rPr>
          <w:rFonts w:ascii="Arial" w:hAnsi="Arial" w:cs="Arial"/>
          <w:sz w:val="20"/>
          <w:szCs w:val="20"/>
        </w:rPr>
        <w:t>ЦЕЛЕВЫЕ ПОКАЗАТЕЛИ</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РАЗВИТИЯ ЖИЛИЩНО-КОММУНАЛЬНОГО ХОЗЯЙСТВА В РОССИЙСКОЙ</w:t>
      </w:r>
    </w:p>
    <w:p w:rsidR="00F33733" w:rsidRDefault="00F33733" w:rsidP="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ФЕДЕРАЦИИ ДО 2020 ГОДА</w:t>
      </w:r>
    </w:p>
    <w:p w:rsidR="00F33733" w:rsidRDefault="00F33733" w:rsidP="00F3373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F33733">
        <w:tc>
          <w:tcPr>
            <w:tcW w:w="4195" w:type="dxa"/>
            <w:tcBorders>
              <w:top w:val="single" w:sz="4" w:space="0" w:color="auto"/>
              <w:bottom w:val="single" w:sz="4" w:space="0" w:color="auto"/>
              <w:right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Целевой показатель</w:t>
            </w:r>
          </w:p>
        </w:tc>
        <w:tc>
          <w:tcPr>
            <w:tcW w:w="1091" w:type="dxa"/>
            <w:tcBorders>
              <w:top w:val="single" w:sz="4" w:space="0" w:color="auto"/>
              <w:left w:val="single" w:sz="4" w:space="0" w:color="auto"/>
              <w:bottom w:val="single" w:sz="4" w:space="0" w:color="auto"/>
              <w:right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2016 год</w:t>
            </w:r>
          </w:p>
        </w:tc>
        <w:tc>
          <w:tcPr>
            <w:tcW w:w="1091" w:type="dxa"/>
            <w:tcBorders>
              <w:top w:val="single" w:sz="4" w:space="0" w:color="auto"/>
              <w:left w:val="single" w:sz="4" w:space="0" w:color="auto"/>
              <w:bottom w:val="single" w:sz="4" w:space="0" w:color="auto"/>
              <w:right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2017 год</w:t>
            </w:r>
          </w:p>
        </w:tc>
        <w:tc>
          <w:tcPr>
            <w:tcW w:w="1091" w:type="dxa"/>
            <w:tcBorders>
              <w:top w:val="single" w:sz="4" w:space="0" w:color="auto"/>
              <w:left w:val="single" w:sz="4" w:space="0" w:color="auto"/>
              <w:bottom w:val="single" w:sz="4" w:space="0" w:color="auto"/>
              <w:right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2018 год</w:t>
            </w:r>
          </w:p>
        </w:tc>
        <w:tc>
          <w:tcPr>
            <w:tcW w:w="1091" w:type="dxa"/>
            <w:tcBorders>
              <w:top w:val="single" w:sz="4" w:space="0" w:color="auto"/>
              <w:left w:val="single" w:sz="4" w:space="0" w:color="auto"/>
              <w:bottom w:val="single" w:sz="4" w:space="0" w:color="auto"/>
              <w:right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 год</w:t>
            </w:r>
          </w:p>
        </w:tc>
        <w:tc>
          <w:tcPr>
            <w:tcW w:w="1092" w:type="dxa"/>
            <w:tcBorders>
              <w:top w:val="single" w:sz="4" w:space="0" w:color="auto"/>
              <w:left w:val="single" w:sz="4" w:space="0" w:color="auto"/>
              <w:bottom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w:t>
            </w:r>
          </w:p>
        </w:tc>
      </w:tr>
      <w:tr w:rsidR="00F33733">
        <w:tc>
          <w:tcPr>
            <w:tcW w:w="4195" w:type="dxa"/>
            <w:tcBorders>
              <w:top w:val="single" w:sz="4" w:space="0" w:color="auto"/>
            </w:tcBorders>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1091" w:type="dxa"/>
            <w:tcBorders>
              <w:top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97000</w:t>
            </w:r>
          </w:p>
        </w:tc>
        <w:tc>
          <w:tcPr>
            <w:tcW w:w="1091" w:type="dxa"/>
            <w:tcBorders>
              <w:top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119000</w:t>
            </w:r>
          </w:p>
        </w:tc>
        <w:tc>
          <w:tcPr>
            <w:tcW w:w="1091" w:type="dxa"/>
            <w:tcBorders>
              <w:top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138000</w:t>
            </w:r>
          </w:p>
        </w:tc>
        <w:tc>
          <w:tcPr>
            <w:tcW w:w="1092" w:type="dxa"/>
            <w:tcBorders>
              <w:top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158000</w:t>
            </w:r>
          </w:p>
        </w:tc>
      </w:tr>
      <w:tr w:rsidR="00F33733">
        <w:tc>
          <w:tcPr>
            <w:tcW w:w="4195" w:type="dxa"/>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собираемости платы за коммунальные услуги (процентов)</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r>
      <w:tr w:rsidR="00F33733">
        <w:tc>
          <w:tcPr>
            <w:tcW w:w="4195" w:type="dxa"/>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Объем расселенного аварийного жилищного фонда, признанного таковым до 1 января 2012 г. (тыс. кв. м) </w:t>
            </w:r>
            <w:hyperlink w:anchor="Par552" w:history="1">
              <w:r>
                <w:rPr>
                  <w:rFonts w:ascii="Arial" w:hAnsi="Arial" w:cs="Arial"/>
                  <w:color w:val="0000FF"/>
                  <w:sz w:val="20"/>
                  <w:szCs w:val="20"/>
                </w:rPr>
                <w:t>&lt;*&gt;</w:t>
              </w:r>
            </w:hyperlink>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2818</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3214</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F33733">
        <w:tc>
          <w:tcPr>
            <w:tcW w:w="4195" w:type="dxa"/>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Уровень технологических потерь при транспортировке по сетям (процентов):</w:t>
            </w:r>
          </w:p>
        </w:tc>
        <w:tc>
          <w:tcPr>
            <w:tcW w:w="1091" w:type="dxa"/>
          </w:tcPr>
          <w:p w:rsidR="00F33733" w:rsidRDefault="00F33733">
            <w:pPr>
              <w:autoSpaceDE w:val="0"/>
              <w:autoSpaceDN w:val="0"/>
              <w:adjustRightInd w:val="0"/>
              <w:spacing w:after="0" w:line="240" w:lineRule="auto"/>
              <w:rPr>
                <w:rFonts w:ascii="Arial" w:hAnsi="Arial" w:cs="Arial"/>
                <w:sz w:val="20"/>
                <w:szCs w:val="20"/>
              </w:rPr>
            </w:pPr>
          </w:p>
        </w:tc>
        <w:tc>
          <w:tcPr>
            <w:tcW w:w="1091" w:type="dxa"/>
          </w:tcPr>
          <w:p w:rsidR="00F33733" w:rsidRDefault="00F33733">
            <w:pPr>
              <w:autoSpaceDE w:val="0"/>
              <w:autoSpaceDN w:val="0"/>
              <w:adjustRightInd w:val="0"/>
              <w:spacing w:after="0" w:line="240" w:lineRule="auto"/>
              <w:rPr>
                <w:rFonts w:ascii="Arial" w:hAnsi="Arial" w:cs="Arial"/>
                <w:sz w:val="20"/>
                <w:szCs w:val="20"/>
              </w:rPr>
            </w:pPr>
          </w:p>
        </w:tc>
        <w:tc>
          <w:tcPr>
            <w:tcW w:w="1091" w:type="dxa"/>
          </w:tcPr>
          <w:p w:rsidR="00F33733" w:rsidRDefault="00F33733">
            <w:pPr>
              <w:autoSpaceDE w:val="0"/>
              <w:autoSpaceDN w:val="0"/>
              <w:adjustRightInd w:val="0"/>
              <w:spacing w:after="0" w:line="240" w:lineRule="auto"/>
              <w:rPr>
                <w:rFonts w:ascii="Arial" w:hAnsi="Arial" w:cs="Arial"/>
                <w:sz w:val="20"/>
                <w:szCs w:val="20"/>
              </w:rPr>
            </w:pPr>
          </w:p>
        </w:tc>
        <w:tc>
          <w:tcPr>
            <w:tcW w:w="1091" w:type="dxa"/>
          </w:tcPr>
          <w:p w:rsidR="00F33733" w:rsidRDefault="00F33733">
            <w:pPr>
              <w:autoSpaceDE w:val="0"/>
              <w:autoSpaceDN w:val="0"/>
              <w:adjustRightInd w:val="0"/>
              <w:spacing w:after="0" w:line="240" w:lineRule="auto"/>
              <w:rPr>
                <w:rFonts w:ascii="Arial" w:hAnsi="Arial" w:cs="Arial"/>
                <w:sz w:val="20"/>
                <w:szCs w:val="20"/>
              </w:rPr>
            </w:pPr>
          </w:p>
        </w:tc>
        <w:tc>
          <w:tcPr>
            <w:tcW w:w="1092" w:type="dxa"/>
          </w:tcPr>
          <w:p w:rsidR="00F33733" w:rsidRDefault="00F33733">
            <w:pPr>
              <w:autoSpaceDE w:val="0"/>
              <w:autoSpaceDN w:val="0"/>
              <w:adjustRightInd w:val="0"/>
              <w:spacing w:after="0" w:line="240" w:lineRule="auto"/>
              <w:rPr>
                <w:rFonts w:ascii="Arial" w:hAnsi="Arial" w:cs="Arial"/>
                <w:sz w:val="20"/>
                <w:szCs w:val="20"/>
              </w:rPr>
            </w:pPr>
          </w:p>
        </w:tc>
      </w:tr>
      <w:tr w:rsidR="00F33733">
        <w:tc>
          <w:tcPr>
            <w:tcW w:w="4195" w:type="dxa"/>
          </w:tcPr>
          <w:p w:rsidR="00F33733" w:rsidRDefault="00F33733">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тепловой энергии</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r>
      <w:tr w:rsidR="00F33733">
        <w:tc>
          <w:tcPr>
            <w:tcW w:w="4195" w:type="dxa"/>
          </w:tcPr>
          <w:p w:rsidR="00F33733" w:rsidRDefault="00F33733">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холодной воды</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r>
      <w:tr w:rsidR="00F33733">
        <w:tc>
          <w:tcPr>
            <w:tcW w:w="4195" w:type="dxa"/>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68,5</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71,9</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75,5</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79,3</w:t>
            </w:r>
          </w:p>
        </w:tc>
      </w:tr>
      <w:tr w:rsidR="00F33733">
        <w:tc>
          <w:tcPr>
            <w:tcW w:w="4195" w:type="dxa"/>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49,6</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54,7</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57,4</w:t>
            </w:r>
          </w:p>
        </w:tc>
      </w:tr>
      <w:tr w:rsidR="00F33733">
        <w:tc>
          <w:tcPr>
            <w:tcW w:w="4195" w:type="dxa"/>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F33733">
        <w:tc>
          <w:tcPr>
            <w:tcW w:w="4195" w:type="dxa"/>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оплату жилищно-коммунальных услуг в совокупном доходе семьи (процентов)</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 12,1</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 11</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 11</w:t>
            </w:r>
          </w:p>
        </w:tc>
        <w:tc>
          <w:tcPr>
            <w:tcW w:w="1091"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 11</w:t>
            </w:r>
          </w:p>
        </w:tc>
        <w:tc>
          <w:tcPr>
            <w:tcW w:w="1092" w:type="dxa"/>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 11</w:t>
            </w:r>
          </w:p>
        </w:tc>
      </w:tr>
      <w:tr w:rsidR="00F33733">
        <w:tc>
          <w:tcPr>
            <w:tcW w:w="4195" w:type="dxa"/>
            <w:tcBorders>
              <w:bottom w:val="single" w:sz="4" w:space="0" w:color="auto"/>
            </w:tcBorders>
          </w:tcPr>
          <w:p w:rsidR="00F33733" w:rsidRDefault="00F33733">
            <w:pPr>
              <w:autoSpaceDE w:val="0"/>
              <w:autoSpaceDN w:val="0"/>
              <w:adjustRightInd w:val="0"/>
              <w:spacing w:after="0" w:line="240" w:lineRule="auto"/>
              <w:rPr>
                <w:rFonts w:ascii="Arial" w:hAnsi="Arial" w:cs="Arial"/>
                <w:sz w:val="20"/>
                <w:szCs w:val="20"/>
              </w:rPr>
            </w:pPr>
            <w:r>
              <w:rPr>
                <w:rFonts w:ascii="Arial" w:hAnsi="Arial" w:cs="Arial"/>
                <w:sz w:val="20"/>
                <w:szCs w:val="20"/>
              </w:rP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bottom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91" w:type="dxa"/>
            <w:tcBorders>
              <w:bottom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91" w:type="dxa"/>
            <w:tcBorders>
              <w:bottom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91" w:type="dxa"/>
            <w:tcBorders>
              <w:bottom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92" w:type="dxa"/>
            <w:tcBorders>
              <w:bottom w:val="single" w:sz="4" w:space="0" w:color="auto"/>
            </w:tcBorders>
          </w:tcPr>
          <w:p w:rsidR="00F33733" w:rsidRDefault="00F337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33733" w:rsidRDefault="00F33733" w:rsidP="00F33733">
      <w:pPr>
        <w:autoSpaceDE w:val="0"/>
        <w:autoSpaceDN w:val="0"/>
        <w:adjustRightInd w:val="0"/>
        <w:spacing w:after="0" w:line="240" w:lineRule="auto"/>
        <w:ind w:firstLine="540"/>
        <w:jc w:val="both"/>
        <w:rPr>
          <w:rFonts w:ascii="Arial" w:hAnsi="Arial" w:cs="Arial"/>
          <w:sz w:val="20"/>
          <w:szCs w:val="20"/>
        </w:rPr>
      </w:pPr>
      <w:bookmarkStart w:id="3" w:name="Par552"/>
      <w:bookmarkEnd w:id="3"/>
      <w:r>
        <w:rPr>
          <w:rFonts w:ascii="Arial" w:hAnsi="Arial" w:cs="Arial"/>
          <w:sz w:val="20"/>
          <w:szCs w:val="20"/>
        </w:rP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F33733" w:rsidRDefault="00F33733" w:rsidP="00F33733">
      <w:pPr>
        <w:autoSpaceDE w:val="0"/>
        <w:autoSpaceDN w:val="0"/>
        <w:adjustRightInd w:val="0"/>
        <w:spacing w:after="0" w:line="240" w:lineRule="auto"/>
        <w:jc w:val="both"/>
        <w:rPr>
          <w:rFonts w:ascii="Arial" w:hAnsi="Arial" w:cs="Arial"/>
          <w:sz w:val="20"/>
          <w:szCs w:val="20"/>
        </w:rPr>
      </w:pPr>
    </w:p>
    <w:p w:rsidR="00F33733" w:rsidRDefault="00F33733" w:rsidP="00F33733">
      <w:pPr>
        <w:autoSpaceDE w:val="0"/>
        <w:autoSpaceDN w:val="0"/>
        <w:adjustRightInd w:val="0"/>
        <w:spacing w:after="0" w:line="240" w:lineRule="auto"/>
        <w:jc w:val="both"/>
        <w:rPr>
          <w:rFonts w:ascii="Arial" w:hAnsi="Arial" w:cs="Arial"/>
          <w:sz w:val="20"/>
          <w:szCs w:val="20"/>
        </w:rPr>
      </w:pPr>
    </w:p>
    <w:p w:rsidR="002228B6" w:rsidRDefault="002228B6"/>
    <w:sectPr w:rsidR="002228B6" w:rsidSect="00F361F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33"/>
    <w:rsid w:val="002228B6"/>
    <w:rsid w:val="00F3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531E-5C77-4BA0-8A01-2601191F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3478DF577336F3DE511C8812578F36B75F02ABD5CEC0C50AE6DB54Dl9P3H" TargetMode="External"/><Relationship Id="rId13" Type="http://schemas.openxmlformats.org/officeDocument/2006/relationships/hyperlink" Target="consultantplus://offline/ref=14F3478DF577336F3DE50FC6852578F36B79FE2BBE5AEC0C50AE6DB54D93DD605BA452A7E7C20DF5l6PFH" TargetMode="External"/><Relationship Id="rId18" Type="http://schemas.openxmlformats.org/officeDocument/2006/relationships/hyperlink" Target="consultantplus://offline/ref=14F3478DF577336F3DE511C8812578F36B77FC2BBB5EEC0C50AE6DB54Dl9P3H" TargetMode="External"/><Relationship Id="rId26" Type="http://schemas.openxmlformats.org/officeDocument/2006/relationships/hyperlink" Target="consultantplus://offline/ref=14F3478DF577336F3DE511C8812578F36871F820B957EC0C50AE6DB54D93DD605BA452A7E7C208F3l6P3H" TargetMode="External"/><Relationship Id="rId3" Type="http://schemas.openxmlformats.org/officeDocument/2006/relationships/webSettings" Target="webSettings.xml"/><Relationship Id="rId21" Type="http://schemas.openxmlformats.org/officeDocument/2006/relationships/hyperlink" Target="consultantplus://offline/ref=14F3478DF577336F3DE511C8812578F36B79F92BB35FEC0C50AE6DB54D93DD605BA452A7E7C20FF5l6P0H" TargetMode="External"/><Relationship Id="rId7" Type="http://schemas.openxmlformats.org/officeDocument/2006/relationships/hyperlink" Target="consultantplus://offline/ref=14F3478DF577336F3DE511C8812578F36871F92ABF5EEC0C50AE6DB54Dl9P3H" TargetMode="External"/><Relationship Id="rId12" Type="http://schemas.openxmlformats.org/officeDocument/2006/relationships/hyperlink" Target="consultantplus://offline/ref=14F3478DF577336F3DE50FC6852578F36B79FE2BBE5AEC0C50AE6DB54Dl9P3H" TargetMode="External"/><Relationship Id="rId17" Type="http://schemas.openxmlformats.org/officeDocument/2006/relationships/hyperlink" Target="consultantplus://offline/ref=14F3478DF577336F3DE511C8812578F36B79FE22B357EC0C50AE6DB54Dl9P3H" TargetMode="External"/><Relationship Id="rId25" Type="http://schemas.openxmlformats.org/officeDocument/2006/relationships/hyperlink" Target="consultantplus://offline/ref=14F3478DF577336F3DE511C8812578F36871F820B957EC0C50AE6DB54D93DD605BA452A7E7C208F3l6P3H" TargetMode="External"/><Relationship Id="rId2" Type="http://schemas.openxmlformats.org/officeDocument/2006/relationships/settings" Target="settings.xml"/><Relationship Id="rId16" Type="http://schemas.openxmlformats.org/officeDocument/2006/relationships/hyperlink" Target="consultantplus://offline/ref=14F3478DF577336F3DE511C8812578F36B79FF26BA5AEC0C50AE6DB54Dl9P3H" TargetMode="External"/><Relationship Id="rId20" Type="http://schemas.openxmlformats.org/officeDocument/2006/relationships/hyperlink" Target="consultantplus://offline/ref=14F3478DF577336F3DE511C8812578F36B78F821BC5FEC0C50AE6DB54Dl9P3H" TargetMode="External"/><Relationship Id="rId1" Type="http://schemas.openxmlformats.org/officeDocument/2006/relationships/styles" Target="styles.xml"/><Relationship Id="rId6" Type="http://schemas.openxmlformats.org/officeDocument/2006/relationships/hyperlink" Target="consultantplus://offline/ref=14F3478DF577336F3DE511C8812578F36871F821B356EC0C50AE6DB54Dl9P3H" TargetMode="External"/><Relationship Id="rId11" Type="http://schemas.openxmlformats.org/officeDocument/2006/relationships/hyperlink" Target="consultantplus://offline/ref=14F3478DF577336F3DE511C8812578F36B74F925BC57EC0C50AE6DB54Dl9P3H" TargetMode="External"/><Relationship Id="rId24" Type="http://schemas.openxmlformats.org/officeDocument/2006/relationships/hyperlink" Target="consultantplus://offline/ref=14F3478DF577336F3DE50FC6852578F36B79FA2ABD5BEC0C50AE6DB54D93DD605BA452A7E7C20FF5l6PEH" TargetMode="External"/><Relationship Id="rId5" Type="http://schemas.openxmlformats.org/officeDocument/2006/relationships/hyperlink" Target="consultantplus://offline/ref=14F3478DF577336F3DE511C8812578F36B79FC2BB95BEC0C50AE6DB54Dl9P3H" TargetMode="External"/><Relationship Id="rId15" Type="http://schemas.openxmlformats.org/officeDocument/2006/relationships/hyperlink" Target="consultantplus://offline/ref=14F3478DF577336F3DE511C8812578F36871F925BA57EC0C50AE6DB54Dl9P3H" TargetMode="External"/><Relationship Id="rId23" Type="http://schemas.openxmlformats.org/officeDocument/2006/relationships/hyperlink" Target="consultantplus://offline/ref=14F3478DF577336F3DE50FC6852578F36B79FA2ABD5BEC0C50AE6DB54D93DD605BA452A7E7C20FF5l6PEH" TargetMode="External"/><Relationship Id="rId28" Type="http://schemas.openxmlformats.org/officeDocument/2006/relationships/theme" Target="theme/theme1.xml"/><Relationship Id="rId10" Type="http://schemas.openxmlformats.org/officeDocument/2006/relationships/hyperlink" Target="consultantplus://offline/ref=14F3478DF577336F3DE511C8812578F36B78FE26BB5EEC0C50AE6DB54Dl9P3H" TargetMode="External"/><Relationship Id="rId19" Type="http://schemas.openxmlformats.org/officeDocument/2006/relationships/hyperlink" Target="consultantplus://offline/ref=14F3478DF577336F3DE511C8812578F36B78F12ABE5BEC0C50AE6DB54Dl9P3H" TargetMode="External"/><Relationship Id="rId4" Type="http://schemas.openxmlformats.org/officeDocument/2006/relationships/hyperlink" Target="consultantplus://offline/ref=14F3478DF577336F3DE50FC6852578F36B77F12AB25AEC0C50AE6DB54Dl9P3H" TargetMode="External"/><Relationship Id="rId9" Type="http://schemas.openxmlformats.org/officeDocument/2006/relationships/hyperlink" Target="consultantplus://offline/ref=14F3478DF577336F3DE511C8812578F36B78FE26BB5EEC0C50AE6DB54D93DD605BA452A7E7C20BF1l6PEH" TargetMode="External"/><Relationship Id="rId14" Type="http://schemas.openxmlformats.org/officeDocument/2006/relationships/hyperlink" Target="consultantplus://offline/ref=14F3478DF577336F3DE511C8812578F36B78F82BB357EC0C50AE6DB54Dl9P3H" TargetMode="External"/><Relationship Id="rId22" Type="http://schemas.openxmlformats.org/officeDocument/2006/relationships/hyperlink" Target="consultantplus://offline/ref=14F3478DF577336F3DE511C8812578F36871F822BC5AEC0C50AE6DB54D93DD605BA452A7E7C206F1l6P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18212</Words>
  <Characters>103810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Алексеева</dc:creator>
  <cp:keywords/>
  <dc:description/>
  <cp:lastModifiedBy>Анастасия Игоревна Алексеева</cp:lastModifiedBy>
  <cp:revision>1</cp:revision>
  <dcterms:created xsi:type="dcterms:W3CDTF">2016-10-05T07:16:00Z</dcterms:created>
  <dcterms:modified xsi:type="dcterms:W3CDTF">2016-10-05T07:18:00Z</dcterms:modified>
</cp:coreProperties>
</file>