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0716"/>
      </w:tblGrid>
      <w:tr>
        <w:trPr>
          <w:trHeight w:val="3031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80" w:type="dxa"/>
              <w:top w:w="60" w:type="dxa"/>
              <w:right w:w="80" w:type="dxa"/>
              <w:bottom w:w="60" w:type="dxa"/>
            </w:tcMar>
            <w:tcW w:w="10716" w:type="dxa"/>
            <w:textDirection w:val="lrTb"/>
            <w:noWrap w:val="false"/>
          </w:tcPr>
          <w:p>
            <w:pPr>
              <w:pStyle w:val="832"/>
            </w:pPr>
            <w:r>
              <w:rPr>
                <w:position w:val="-6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0pt;height:71.25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833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80" w:type="dxa"/>
              <w:top w:w="60" w:type="dxa"/>
              <w:right w:w="80" w:type="dxa"/>
              <w:bottom w:w="60" w:type="dxa"/>
            </w:tcMar>
            <w:tcW w:w="10716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</w:pPr>
            <w:r>
              <w:rPr>
                <w:sz w:val="48"/>
              </w:rPr>
              <w:t xml:space="preserve">Постановление Правительства РФ от 28</w:t>
            </w:r>
            <w:r>
              <w:rPr>
                <w:sz w:val="48"/>
              </w:rPr>
              <w:t xml:space="preserve">.09.2022 N 1702</w:t>
              <w:br/>
              <w:t xml:space="preserve">"Об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</w:t>
            </w:r>
            <w:r>
              <w:rPr>
                <w:sz w:val="48"/>
              </w:rPr>
              <w:t xml:space="preserve">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собственности"</w:t>
            </w:r>
            <w:r/>
          </w:p>
        </w:tc>
      </w:tr>
      <w:tr>
        <w:trPr>
          <w:trHeight w:val="15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80" w:type="dxa"/>
              <w:top w:w="60" w:type="dxa"/>
              <w:right w:w="80" w:type="dxa"/>
              <w:bottom w:w="60" w:type="dxa"/>
            </w:tcMar>
            <w:tcW w:w="10716" w:type="dxa"/>
            <w:vAlign w:val="center"/>
            <w:textDirection w:val="lrTb"/>
            <w:noWrap w:val="false"/>
          </w:tcPr>
          <w:p>
            <w:pPr>
              <w:pStyle w:val="832"/>
              <w:jc w:val="left"/>
            </w:pPr>
            <w:r>
              <w:rPr>
                <w:sz w:val="28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841" w:right="595" w:bottom="841" w:left="595" w:header="0" w:footer="0" w:gutter="0"/>
          <w:cols w:num="1" w:sep="0" w:space="1701" w:equalWidth="1"/>
          <w:docGrid w:linePitch="360"/>
          <w:titlePg/>
        </w:sectPr>
      </w:pPr>
      <w:r/>
      <w:r/>
    </w:p>
    <w:p>
      <w:pPr>
        <w:pStyle w:val="827"/>
        <w:jc w:val="both"/>
        <w:outlineLvl w:val="0"/>
      </w:pPr>
      <w:r>
        <w:rPr>
          <w:sz w:val="20"/>
        </w:rPr>
      </w:r>
      <w:r/>
    </w:p>
    <w:p>
      <w:pPr>
        <w:pStyle w:val="829"/>
        <w:jc w:val="center"/>
        <w:outlineLvl w:val="0"/>
      </w:pPr>
      <w:r>
        <w:rPr>
          <w:sz w:val="20"/>
        </w:rPr>
        <w:t xml:space="preserve">ПРАВИТЕЛЬСТВО РОССИЙСКОЙ ФЕДЕРАЦИИ</w:t>
      </w:r>
      <w:r/>
    </w:p>
    <w:p>
      <w:pPr>
        <w:pStyle w:val="829"/>
        <w:jc w:val="center"/>
      </w:pPr>
      <w:r>
        <w:rPr>
          <w:sz w:val="20"/>
        </w:rPr>
      </w:r>
      <w:r/>
    </w:p>
    <w:p>
      <w:pPr>
        <w:pStyle w:val="829"/>
        <w:jc w:val="center"/>
      </w:pPr>
      <w:r>
        <w:rPr>
          <w:sz w:val="20"/>
        </w:rPr>
        <w:t xml:space="preserve">ПОСТАНОВЛЕНИЕ</w:t>
      </w:r>
      <w:r/>
    </w:p>
    <w:p>
      <w:pPr>
        <w:pStyle w:val="829"/>
        <w:jc w:val="center"/>
      </w:pPr>
      <w:r>
        <w:rPr>
          <w:sz w:val="20"/>
        </w:rPr>
        <w:t xml:space="preserve">от 28 сентября 2022 г. N 1702</w:t>
      </w:r>
      <w:r/>
    </w:p>
    <w:p>
      <w:pPr>
        <w:pStyle w:val="829"/>
        <w:jc w:val="center"/>
      </w:pPr>
      <w:r>
        <w:rPr>
          <w:sz w:val="20"/>
        </w:rPr>
      </w:r>
      <w:r/>
    </w:p>
    <w:p>
      <w:pPr>
        <w:pStyle w:val="829"/>
        <w:jc w:val="center"/>
      </w:pPr>
      <w:r>
        <w:rPr>
          <w:sz w:val="20"/>
        </w:rPr>
        <w:t xml:space="preserve">ОБ УТВЕРЖДЕНИИ ПРАВИЛ</w:t>
      </w:r>
      <w:r/>
    </w:p>
    <w:p>
      <w:pPr>
        <w:pStyle w:val="829"/>
        <w:jc w:val="center"/>
      </w:pPr>
      <w:r>
        <w:rPr>
          <w:sz w:val="20"/>
        </w:rPr>
        <w:t xml:space="preserve">ОСУЩЕСТВЛЕНИЯ ГОСУДАРСТВЕННОГО КОНТРОЛЯ (НАДЗОРА)</w:t>
      </w:r>
      <w:r/>
    </w:p>
    <w:p>
      <w:pPr>
        <w:pStyle w:val="829"/>
        <w:jc w:val="center"/>
      </w:pPr>
      <w:r>
        <w:rPr>
          <w:sz w:val="20"/>
        </w:rPr>
        <w:t xml:space="preserve">ЗА СОБЛЮДЕНИЕМ СПЕЦИАЛИЗИРОВАННЫМИ НЕКОММЕРЧЕСКИМИ</w:t>
      </w:r>
      <w:r/>
    </w:p>
    <w:p>
      <w:pPr>
        <w:pStyle w:val="829"/>
        <w:jc w:val="center"/>
      </w:pPr>
      <w:r>
        <w:rPr>
          <w:sz w:val="20"/>
        </w:rPr>
        <w:t xml:space="preserve">ОРГАНИЗАЦИЯМИ, КОТОРЫЕ ОСУЩЕСТВЛЯЮТ ДЕЯТЕЛЬНОСТЬ,</w:t>
      </w:r>
      <w:r/>
    </w:p>
    <w:p>
      <w:pPr>
        <w:pStyle w:val="829"/>
        <w:jc w:val="center"/>
      </w:pPr>
      <w:r>
        <w:rPr>
          <w:sz w:val="20"/>
        </w:rPr>
        <w:t xml:space="preserve">НАПРАВЛЕННУЮ НА ОБЕСПЕЧЕНИЕ ПРОВЕДЕНИЯ КАПИТАЛЬНОГО</w:t>
      </w:r>
      <w:r/>
    </w:p>
    <w:p>
      <w:pPr>
        <w:pStyle w:val="829"/>
        <w:jc w:val="center"/>
      </w:pPr>
      <w:r>
        <w:rPr>
          <w:sz w:val="20"/>
        </w:rPr>
        <w:t xml:space="preserve">РЕМОНТА ОБЩЕГО ИМУЩЕСТВА В МНОГОКВАРТИРНЫХ ДОМАХ,</w:t>
      </w:r>
      <w:r/>
    </w:p>
    <w:p>
      <w:pPr>
        <w:pStyle w:val="829"/>
        <w:jc w:val="center"/>
      </w:pPr>
      <w:r>
        <w:rPr>
          <w:sz w:val="20"/>
        </w:rPr>
        <w:t xml:space="preserve">ТРЕБОВАНИЙ, УСТАНОВЛЕННЫХ ЖИЛИЩНЫМ ЗАКОНОДАТЕЛЬСТВОМ,</w:t>
      </w:r>
      <w:r/>
    </w:p>
    <w:p>
      <w:pPr>
        <w:pStyle w:val="829"/>
        <w:jc w:val="center"/>
      </w:pPr>
      <w:r>
        <w:rPr>
          <w:sz w:val="20"/>
        </w:rPr>
        <w:t xml:space="preserve">ЗАКОНОДАТЕЛЬСТВОМ ОБ ЭНЕРГОСБЕРЕЖЕНИИ И О ПОВЫШЕНИИ</w:t>
      </w:r>
      <w:r/>
    </w:p>
    <w:p>
      <w:pPr>
        <w:pStyle w:val="829"/>
        <w:jc w:val="center"/>
      </w:pPr>
      <w:r>
        <w:rPr>
          <w:sz w:val="20"/>
        </w:rPr>
        <w:t xml:space="preserve">ЭНЕРГЕТИЧЕСКОЙ ЭФФЕКТИВНОСТИ, К ИСПОЛЬЗОВАНИЮ И СОХРАННОСТИ</w:t>
      </w:r>
      <w:r/>
    </w:p>
    <w:p>
      <w:pPr>
        <w:pStyle w:val="829"/>
        <w:jc w:val="center"/>
      </w:pPr>
      <w:r>
        <w:rPr>
          <w:sz w:val="20"/>
        </w:rPr>
        <w:t xml:space="preserve">ЖИЛИЩНОГО ФОНДА НЕЗАВИСИМО ОТ ЕГО ФОРМЫ СОБСТВЕННОСТИ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В соответствии с </w:t>
      </w:r>
      <w:hyperlink r:id="rId13" w:tooltip="&quot;Жилищный кодекс Российской Федерации&quot; от 29.12.2004 N 188-ФЗ (ред. от 22.04.2024, с изм. от 25.04.2024) {КонсультантПлюс}" w:history="1">
        <w:r>
          <w:rPr>
            <w:color w:val="0000ff"/>
            <w:sz w:val="20"/>
          </w:rPr>
          <w:t xml:space="preserve">частью 15 статьи 20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Утвердить прилагаемые </w:t>
      </w:r>
      <w:hyperlink w:tooltip="ПРАВИЛА" w:anchor="P33" w:history="1">
        <w:r>
          <w:rPr>
            <w:color w:val="0000ff"/>
            <w:sz w:val="20"/>
          </w:rPr>
          <w:t xml:space="preserve">Правила</w:t>
        </w:r>
      </w:hyperlink>
      <w:r>
        <w:rPr>
          <w:sz w:val="20"/>
        </w:rPr>
        <w:t xml:space="preserve">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</w:t>
      </w:r>
      <w:r>
        <w:rPr>
          <w:sz w:val="20"/>
        </w:rPr>
        <w:t xml:space="preserve">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jc w:val="right"/>
      </w:pPr>
      <w:r>
        <w:rPr>
          <w:sz w:val="20"/>
        </w:rPr>
        <w:t xml:space="preserve">Председатель Правительства</w:t>
      </w:r>
      <w:r/>
    </w:p>
    <w:p>
      <w:pPr>
        <w:pStyle w:val="827"/>
        <w:jc w:val="right"/>
      </w:pPr>
      <w:r>
        <w:rPr>
          <w:sz w:val="20"/>
        </w:rPr>
        <w:t xml:space="preserve">Российской Федерации</w:t>
      </w:r>
      <w:r/>
    </w:p>
    <w:p>
      <w:pPr>
        <w:pStyle w:val="827"/>
        <w:jc w:val="right"/>
      </w:pPr>
      <w:r>
        <w:rPr>
          <w:sz w:val="20"/>
        </w:rPr>
        <w:t xml:space="preserve">М.МИШУСТИН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jc w:val="right"/>
        <w:outlineLvl w:val="0"/>
      </w:pPr>
      <w:r>
        <w:rPr>
          <w:sz w:val="20"/>
        </w:rPr>
        <w:t xml:space="preserve">Утверждены</w:t>
      </w:r>
      <w:r/>
    </w:p>
    <w:p>
      <w:pPr>
        <w:pStyle w:val="827"/>
        <w:jc w:val="right"/>
      </w:pPr>
      <w:r>
        <w:rPr>
          <w:sz w:val="20"/>
        </w:rPr>
        <w:t xml:space="preserve">постановлением Правительства</w:t>
      </w:r>
      <w:r/>
    </w:p>
    <w:p>
      <w:pPr>
        <w:pStyle w:val="827"/>
        <w:jc w:val="right"/>
      </w:pPr>
      <w:r>
        <w:rPr>
          <w:sz w:val="20"/>
        </w:rPr>
        <w:t xml:space="preserve">Российской Федерации</w:t>
      </w:r>
      <w:r/>
    </w:p>
    <w:p>
      <w:pPr>
        <w:pStyle w:val="827"/>
        <w:jc w:val="right"/>
      </w:pPr>
      <w:r>
        <w:rPr>
          <w:sz w:val="20"/>
        </w:rPr>
        <w:t xml:space="preserve">от 28 сентября 2022 г. N 1702</w:t>
      </w:r>
      <w:r/>
    </w:p>
    <w:p>
      <w:pPr>
        <w:pStyle w:val="827"/>
        <w:jc w:val="right"/>
      </w:pPr>
      <w:r>
        <w:rPr>
          <w:sz w:val="20"/>
        </w:rPr>
      </w:r>
      <w:r/>
    </w:p>
    <w:p>
      <w:pPr>
        <w:pStyle w:val="829"/>
        <w:jc w:val="center"/>
      </w:pPr>
      <w:r/>
      <w:bookmarkStart w:id="33" w:name="P33"/>
      <w:r/>
      <w:bookmarkEnd w:id="33"/>
      <w:r>
        <w:rPr>
          <w:sz w:val="20"/>
        </w:rPr>
        <w:t xml:space="preserve">ПРАВИЛА</w:t>
      </w:r>
      <w:r/>
    </w:p>
    <w:p>
      <w:pPr>
        <w:pStyle w:val="829"/>
        <w:jc w:val="center"/>
      </w:pPr>
      <w:r>
        <w:rPr>
          <w:sz w:val="20"/>
        </w:rPr>
        <w:t xml:space="preserve">ОСУЩЕСТВЛЕНИЯ ГОСУДАРСТВЕННОГО КОНТРОЛЯ (НАДЗОРА)</w:t>
      </w:r>
      <w:r/>
    </w:p>
    <w:p>
      <w:pPr>
        <w:pStyle w:val="829"/>
        <w:jc w:val="center"/>
      </w:pPr>
      <w:r>
        <w:rPr>
          <w:sz w:val="20"/>
        </w:rPr>
        <w:t xml:space="preserve">ЗА СОБЛЮДЕНИЕМ СПЕЦИАЛИЗИРОВАННЫМИ НЕКОММЕРЧЕСКИМИ</w:t>
      </w:r>
      <w:r/>
    </w:p>
    <w:p>
      <w:pPr>
        <w:pStyle w:val="829"/>
        <w:jc w:val="center"/>
      </w:pPr>
      <w:r>
        <w:rPr>
          <w:sz w:val="20"/>
        </w:rPr>
        <w:t xml:space="preserve">ОРГАНИЗАЦИЯМИ, КОТОРЫЕ ОСУЩЕСТВЛЯЮТ ДЕЯТЕЛЬНОСТЬ,</w:t>
      </w:r>
      <w:r/>
    </w:p>
    <w:p>
      <w:pPr>
        <w:pStyle w:val="829"/>
        <w:jc w:val="center"/>
      </w:pPr>
      <w:r>
        <w:rPr>
          <w:sz w:val="20"/>
        </w:rPr>
        <w:t xml:space="preserve">НАПРАВЛЕННУЮ НА ОБЕСПЕЧЕНИЕ ПРОВЕДЕНИЯ КАПИТАЛЬНОГО</w:t>
      </w:r>
      <w:r/>
    </w:p>
    <w:p>
      <w:pPr>
        <w:pStyle w:val="829"/>
        <w:jc w:val="center"/>
      </w:pPr>
      <w:r>
        <w:rPr>
          <w:sz w:val="20"/>
        </w:rPr>
        <w:t xml:space="preserve">РЕМОНТА ОБЩЕГО ИМУЩЕСТВА В МНОГОКВАРТИРНЫХ ДОМАХ,</w:t>
      </w:r>
      <w:r/>
    </w:p>
    <w:p>
      <w:pPr>
        <w:pStyle w:val="829"/>
        <w:jc w:val="center"/>
      </w:pPr>
      <w:r>
        <w:rPr>
          <w:sz w:val="20"/>
        </w:rPr>
        <w:t xml:space="preserve">ТРЕБОВАНИЙ, УСТАНОВЛЕННЫХ ЖИЛИЩНЫМ ЗАКОНОДАТЕЛЬСТВОМ,</w:t>
      </w:r>
      <w:r/>
    </w:p>
    <w:p>
      <w:pPr>
        <w:pStyle w:val="829"/>
        <w:jc w:val="center"/>
      </w:pPr>
      <w:r>
        <w:rPr>
          <w:sz w:val="20"/>
        </w:rPr>
        <w:t xml:space="preserve">ЗАКОНОДАТЕЛЬСТВОМ ОБ ЭНЕРГОСБЕРЕЖЕНИИ И О ПОВЫШЕНИИ</w:t>
      </w:r>
      <w:r/>
    </w:p>
    <w:p>
      <w:pPr>
        <w:pStyle w:val="829"/>
        <w:jc w:val="center"/>
      </w:pPr>
      <w:r>
        <w:rPr>
          <w:sz w:val="20"/>
        </w:rPr>
        <w:t xml:space="preserve">ЭНЕРГЕТИЧЕСКОЙ ЭФФЕКТИВНОСТИ, К ИСПОЛЬЗОВАНИЮ И СОХРАННОСТИ</w:t>
      </w:r>
      <w:r/>
    </w:p>
    <w:p>
      <w:pPr>
        <w:pStyle w:val="829"/>
        <w:jc w:val="center"/>
      </w:pPr>
      <w:r>
        <w:rPr>
          <w:sz w:val="20"/>
        </w:rPr>
        <w:t xml:space="preserve">ЖИЛИЩНОГО ФОНДА НЕЗАВИСИМО ОТ ЕГО ФОРМЫ СОБСТВЕННОСТИ</w:t>
      </w:r>
      <w:r/>
    </w:p>
    <w:p>
      <w:pPr>
        <w:pStyle w:val="827"/>
        <w:jc w:val="center"/>
      </w:pPr>
      <w:r>
        <w:rPr>
          <w:sz w:val="20"/>
        </w:rPr>
      </w:r>
      <w:r/>
    </w:p>
    <w:p>
      <w:pPr>
        <w:pStyle w:val="829"/>
        <w:jc w:val="center"/>
        <w:outlineLvl w:val="1"/>
      </w:pPr>
      <w:r>
        <w:rPr>
          <w:sz w:val="20"/>
        </w:rPr>
        <w:t xml:space="preserve">I. Общие положения</w:t>
      </w:r>
      <w:r/>
    </w:p>
    <w:p>
      <w:pPr>
        <w:pStyle w:val="827"/>
        <w:jc w:val="center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государственного контроля (надзора) за соблюдением специализированным</w:t>
      </w:r>
      <w:r>
        <w:rPr>
          <w:sz w:val="20"/>
        </w:rPr>
        <w:t xml:space="preserve">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соответственно - капитальный ремонт, региональные операторы), требований, устано</w:t>
      </w:r>
      <w:r>
        <w:rPr>
          <w:sz w:val="20"/>
        </w:rPr>
        <w:t xml:space="preserve">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(далее соответственно - требования, контроль (надзор).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2. Контроль (надзор) осуществляется исполнительными органами субъектов Российской Федерации, осуществляющими региональный государственный жилищный контроль (надзор) (далее - орган государственного жилищного надзора) в соответствии с настоящими Правилами.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3. Должностными лицами, уполномоченными на осуществление контроля (надзора), являются: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а) руководитель органа государственно</w:t>
      </w:r>
      <w:r>
        <w:rPr>
          <w:sz w:val="20"/>
        </w:rPr>
        <w:t xml:space="preserve">го жилищного надзора, являющийся по должности главным государственным жилищным инспектором субъекта Российской Федерации, и его заместители, являющиеся по должности заместителями главного государственного жилищного инспектора субъекта Российской Федерации;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б) руководители структурных подразделений органа государственного жилищного надзора, в должностные обязанности которых в соответствии с должностными регламентами входит осуществление полномочий по контролю (надзору);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в) должностные лица структурных подразделений органа государственного жилищного надзора, должностными регламентами которых предусмотрены полномочия по осуществлению контроля (надзора).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4. Должностными лицами, уполномоченными на принятие решений о проведении контрольных (надзорных) мероприятий, являются руководитель органа государственного жилищного надзора и его заместители.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5. Объектами контроля (надзора) являются деятельность, действия (бездействие) регионального оператора, в рамках которых должны соблюдаться требования.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6. Предметом контроля (надзора) является соблюдение региональным оператором следующих требований: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а) требования к подготовке и направлению собственникам помещений в многоквар</w:t>
      </w:r>
      <w:r>
        <w:rPr>
          <w:sz w:val="20"/>
        </w:rPr>
        <w:t xml:space="preserve">тирном доме предложений о сроке начала капитального ремонта, необходимом перечне и объеме услуг и (или) работ, их стоимости, порядке и источниках финансирования капитального ремонта и других предложений, связанных с проведением такого капитального ремонта;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б) требования к обеспечению проведения капитального ремонта в отношении многоквартирного дома, собственники помещений в котором формируют фонд капитального ремонта на счете регионального оператора, в срок</w:t>
      </w:r>
      <w:r>
        <w:rPr>
          <w:sz w:val="20"/>
        </w:rPr>
        <w:t xml:space="preserve">и, предусмотренные региональной программой капитального ремонта общего имущества в многоквартирном доме (далее - региональная программа капитального ремонта) и конкретизированные в краткосрочном плане реализации региональной программы капитального ремонта;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в) требо</w:t>
      </w:r>
      <w:r>
        <w:rPr>
          <w:sz w:val="20"/>
        </w:rPr>
        <w:t xml:space="preserve">вания к осуществлению приемки оказанных услуг и (или) выполненных работ по капитальному ремонту, в том числе к обеспечению создания соответствующих комиссий с участием представителей исполнительных органов субъектов Российской Федерации, ответственных за р</w:t>
      </w:r>
      <w:r>
        <w:rPr>
          <w:sz w:val="20"/>
        </w:rPr>
        <w:t xml:space="preserve">еализацию региональных программ капитального ремонта и (или) краткосрочных планов их реализации, и (или) органов местного самоуправления, лиц, осуществляющих управление многоквартирным домом, и представителей собственников помещений в многоквартирном доме;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г) требования к контролю качества и сроков оказания услуг и (или) выполнения работ по капитальному ремонту подрядными организациями и соответствия таких услуг и (или) работ требованиям проектной документации;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д) требования к качеству оказанных услуг и (или) выполненных работ по капитальному ремонту в течение не менее 5 лет с момента подписания соответствующего акта приемки оказанных услуг и (или) выполненных работ;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е) требования к представлению своими силами или си</w:t>
      </w:r>
      <w:r>
        <w:rPr>
          <w:sz w:val="20"/>
        </w:rPr>
        <w:t xml:space="preserve">лами третьих лиц собственнику помещения в многоквартирном доме платежных документов для уплаты взносов на капитальный ремонт по адресу нахождения помещения в многоквартирном доме, за капитальный ремонт в котором вносится взнос на капитальный ремонт, и прин</w:t>
      </w:r>
      <w:r>
        <w:rPr>
          <w:sz w:val="20"/>
        </w:rPr>
        <w:t xml:space="preserve">ятию установленных законодательством мер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ж) требования к размещению информации об исполнении своих обязанностей по организации проведения капитального ремонта в государственной информационной системе жилищно-коммунального хозяйства в соответствии с законодательством Российской Федерации;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з) требования к обеспечению подготовки задания на оказание услуг и (или) выполнение работ по капитальном</w:t>
      </w:r>
      <w:r>
        <w:rPr>
          <w:sz w:val="20"/>
        </w:rPr>
        <w:t xml:space="preserve">у ремонту и при необходимости подготовки проектной документации на проведение капитального ремонта, утверждению проектной документации и обеспечению ее качества и соответствия требованиям технических регламентов, стандартов и других нормативных документов;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и) требования к обеспечению установления фактов воспрепятствования проведению работ по ка</w:t>
      </w:r>
      <w:r>
        <w:rPr>
          <w:sz w:val="20"/>
        </w:rPr>
        <w:t xml:space="preserve">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к) требования к осуществлению капитального ремонта в объеме, необходимом для ликвидации последствий, возникших вследствие аварии, иных чрезвычайных ситуаций природного или техногенного характера, в случае возникновения таких аварии и ситуаций;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л) требования к передаче лицу, осуществляющему управление многоквартирным домом, в котором проведен капитальный ремонт, копий документов о проведенном капитальном ремонте (в том числе копий проектной, сметн</w:t>
      </w:r>
      <w:r>
        <w:rPr>
          <w:sz w:val="20"/>
        </w:rPr>
        <w:t xml:space="preserve">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иных документов, связанных с проведением капитального ремонта, за исключением финансовых документов;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м) требования, установленные законодательством об энергосбережении и о повышении энергетической эффективности.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7. Должностные лица, уполномоченные на осуществление контроля (надзора), имеют служебные удостоверения единого образца, установленного высшим исполнительным органом субъекта Российской Федерации.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9"/>
        <w:jc w:val="center"/>
        <w:outlineLvl w:val="1"/>
      </w:pPr>
      <w:r>
        <w:rPr>
          <w:sz w:val="20"/>
        </w:rPr>
        <w:t xml:space="preserve">II. Организация проведения профилактических мероприятий</w:t>
      </w:r>
      <w:r/>
    </w:p>
    <w:p>
      <w:pPr>
        <w:pStyle w:val="829"/>
        <w:jc w:val="center"/>
      </w:pPr>
      <w:r>
        <w:rPr>
          <w:sz w:val="20"/>
        </w:rPr>
        <w:t xml:space="preserve">при осуществлении контроля (надзора)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8. В целях стимулирования добросовестного соблюдения региональны</w:t>
      </w:r>
      <w:r>
        <w:rPr>
          <w:sz w:val="20"/>
        </w:rPr>
        <w:t xml:space="preserve">м оператором требований, устранения условий, причин и факторов, способных привести к нарушению требований и (или) причинению вреда (ущерба) охраняемым законом ценностям, а также в целях создания условий для доведения требований до региональных операторов и</w:t>
      </w:r>
      <w:r>
        <w:rPr>
          <w:sz w:val="20"/>
        </w:rPr>
        <w:t xml:space="preserve"> повышения информированности о способах их соблюдения при осуществлении контроля (надзора) проводятся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9. В рамках контроля (надзора) осуществляются следующие профилактические мероприятия: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а) обобщение правоприменительной практики;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б) объявление предостережения о недопустимости нарушения требований (далее - предостережение);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в) профилактический визит.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10. Обобщение правоприменительной практики осуществля</w:t>
      </w:r>
      <w:r>
        <w:rPr>
          <w:sz w:val="20"/>
        </w:rPr>
        <w:t xml:space="preserve">ется ежегодно должностными лицами органа государственного жилищного надзора путем сбора и анализа данных о проведенных контрольных (надзорных) мероприятиях и их результатах, а также анализа обращений, поступивших в орган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По итогам обобщения правоприменительной практики органом государственного жи</w:t>
      </w:r>
      <w:r>
        <w:rPr>
          <w:sz w:val="20"/>
        </w:rPr>
        <w:t xml:space="preserve">лищного надзора готовится проект доклада, содержащего результаты обобщения правоприменительной практики органа государственного жилищного надзора (далее - доклад о правоприменительной практике), который в обязательном порядке проходит публичные обсуждения.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Доклад о правоприменительной практике утверждается приказом (распоряжением) руководителя органа государственного жилищного над</w:t>
      </w:r>
      <w:r>
        <w:rPr>
          <w:sz w:val="20"/>
        </w:rPr>
        <w:t xml:space="preserve">зора до 10 марта года, следующего за отчетным годом, и размещается на официальном сайте органа государственного жилищного надзора в информационно-телекоммуникационной сети "Интернет" (далее - сеть "Интернет") до 15 марта года, следующего за отчетным годом.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11. Доклад о правоприменительной практике направляется органом государственного жилищного надзора в федеральный орган исполнительной власти, осуществляющий функции п</w:t>
      </w:r>
      <w:r>
        <w:rPr>
          <w:sz w:val="20"/>
        </w:rPr>
        <w:t xml:space="preserve">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органа государственного жилищного надзора в сети "Интернет".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до 25 апреля года, следующего за</w:t>
      </w:r>
      <w:r>
        <w:rPr>
          <w:sz w:val="20"/>
        </w:rPr>
        <w:t xml:space="preserve"> отчетным годом, готовит ежегодный доклад о состоянии контроля (надзора), содержащий результаты обобщения правоприменительной практики по осуществлению контроля (надзора) в Российской Федерации, и размещает его на своем официальном сайте в сети "Интернет".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12. При наличии у органа государственного</w:t>
      </w:r>
      <w:r>
        <w:rPr>
          <w:sz w:val="20"/>
        </w:rPr>
        <w:t xml:space="preserve"> жилищного надзора сведений о готовящемся нарушении требований или признаках нарушения требований орган государственного жилищного надзора объявляет региональному оператору предостережение и предлагает ему принять меры по обеспечению соблюдения требований.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Региональный оператор в течение 10 рабочих дней со дня получения предостережения вправе подать в орган государственного жилищного надзора возражение в отношении указанного предостережения, в котором указываются: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наименование регионального оператора;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идентификационный номер налогоплательщика - регионального оператора;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дата и номер предостережения, направленного региональному оператору;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обоснование позиции регионального оператора в отношении его действий (бездействия), которые указаны в предостережении и которые приводят или могут привести к нарушению требований.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Возра</w:t>
      </w:r>
      <w:r>
        <w:rPr>
          <w:sz w:val="20"/>
        </w:rPr>
        <w:t xml:space="preserve">жение в отношении предостережения может быть подано региональным оператором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предостережении способами.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Орган государственного жилищного надзора по итогам рассмотрения возражения в отношении предостережения направляет ответ региональному оператору в течение 15 рабочих дней со дня получения такого возражения.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13. Профилактический визит проводится органом государственного жилищного надзора в форме профилактической беседы по месту нахождения (осуществления деятельности) регионального оператора либо путем использования видео-конференц-связи.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Срок проведения профилактического визита составляет один рабочий день.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ходе профилактического визита региональный оператор информируется о требованиях, предъявляемых к его деятельности, а также о видах, содержании и периодичности контрольных (надзорных) мероприятий, проводимых в отношении объекта контроля (надзора).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При проведении профилактического визита региональному оператору не могут выдаваться предписания об устранении нарушений требований. Разъяснения, полученные региональным оператором в ходе профилактического визита, носят рекомендательный характер.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случае если пр</w:t>
      </w:r>
      <w:r>
        <w:rPr>
          <w:sz w:val="20"/>
        </w:rPr>
        <w:t xml:space="preserve">и проведении профилактического визита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(ущерб) причинен, должностное лицо (должностные лица) органа </w:t>
      </w:r>
      <w:r>
        <w:rPr>
          <w:sz w:val="20"/>
        </w:rPr>
        <w:t xml:space="preserve">государственного жилищного надзора незамедлительно направляет информацию об этом должностному лицу,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По результатам проведенного профилактического визита должностным лицом органа государственного жилищного надзора составляется отчет, который направляется должностному лицу органа государственного жилищного надзора, принявшему решение о его проведении.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9"/>
        <w:jc w:val="center"/>
        <w:outlineLvl w:val="1"/>
      </w:pPr>
      <w:r>
        <w:rPr>
          <w:sz w:val="20"/>
        </w:rPr>
        <w:t xml:space="preserve">III. Организация проведения контрольных (надзорных)</w:t>
      </w:r>
      <w:r/>
    </w:p>
    <w:p>
      <w:pPr>
        <w:pStyle w:val="829"/>
        <w:jc w:val="center"/>
      </w:pPr>
      <w:r>
        <w:rPr>
          <w:sz w:val="20"/>
        </w:rPr>
        <w:t xml:space="preserve">мероприятий при осуществлении контроля (надзора)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14. Плановые контрольные (надзорные) мероприятия проводятся на основании плана-графика контрольных (надзорных) мероприятий, утвержденного органом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15. План-график контрольных (надзорных) мероприятий разрабатывается в целях обеспечения контроля (надзора) с учетом сезонности оказываемых услуг и (или) выполняемых работ по капитальному ремонту и должен пред</w:t>
      </w:r>
      <w:r>
        <w:rPr>
          <w:sz w:val="20"/>
        </w:rPr>
        <w:t xml:space="preserve">усматривать проведение одного планового контрольного (надзорного) мероприятия один раз в 3 года. Срок проведения планового контрольного (надзорного) мероприятия не может составлять более 30 рабочих дней, если иной срок не предусмотрен настоящими Правилами.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16. Внеплановые контрольные (надзорные) мероприятия проводятся по следующим основаниям: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а) поступление обращений граждан, органов местного самоуправления, исполнительных органов субъекта Российской Федерации о нарушении требований при организации и проведении капитального ремонта;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б) наличие у органа государственного жилищного надзора сведений о причинении вреда (ущерба) или об угрозе причинения вреда (ущерба) охраняемым законом ценностям;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региональных операторов;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г)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д) истечение срока исполнения решения органа государственного жилищного надзора об устранении ранее выявленного нарушения требований.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17. При осуществлении контроля (надзора) проводятся следующие контрольные (надзорные) мероприятия: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а) предусматривающие взаимодействие с региональным оператором на плановой и внеплановой основе: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документарная проверка;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выездная проверка;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б) осуществляемые без взаимодействия с региональным оператором: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наблюдение за соблюдением требований;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выездное обследование.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18. Под до</w:t>
      </w:r>
      <w:r>
        <w:rPr>
          <w:sz w:val="20"/>
        </w:rPr>
        <w:t xml:space="preserve">кументарной проверкой в целях настоящих Правил понимается контрольное (надзорное) мероприятие, которое проводится по месту нахождения органа государственного жилищного надзора и предметом которого являются исключительно сведения, содержащиеся в документах </w:t>
      </w:r>
      <w:r>
        <w:rPr>
          <w:sz w:val="20"/>
        </w:rPr>
        <w:t xml:space="preserve">регионального оператора, устанавливающих его организационно-правовую форму, права и обязанности, а также документы, используемые при осуществлении его деятельности и связанные с исполнением им требований и решений органа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ходе документарной проверки рассматриваются документы регионального оператора, а также документы, связ</w:t>
      </w:r>
      <w:r>
        <w:rPr>
          <w:sz w:val="20"/>
        </w:rPr>
        <w:t xml:space="preserve">анные с проведением капитального ремонта (проектная документация, документы, связанные с организацией проведения строительного контроля, журналы, в которых ведется учет выполнения работ (при их наличии), результаты экспертиз), имеющиеся в распоряжении орга</w:t>
      </w:r>
      <w:r>
        <w:rPr>
          <w:sz w:val="20"/>
        </w:rPr>
        <w:t xml:space="preserve">на государственного жилищного надзора, результаты предыдущих контрольных (надзорных) мероприятий, материалы рассмотрения дел об административных правонарушениях и документы о результатах осуществления в отношении регионального оператора контроля (надзора).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ходе документарной проверки могут совершаться следующие контрольные (надзорные) действия: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получение письменных объяснений;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истребование документов.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случае если достоверность сведений, содержащихся в документах, имеющихся в распо</w:t>
      </w:r>
      <w:r>
        <w:rPr>
          <w:sz w:val="20"/>
        </w:rPr>
        <w:t xml:space="preserve">ряжении органа государственного жилищного надзора, вызывает обоснованные сомнения либо эти сведения не позволяют оценить исполнение региональным оператором требований, орган государственного жилищного надзора направляет региональному оператору требование п</w:t>
      </w:r>
      <w:r>
        <w:rPr>
          <w:sz w:val="20"/>
        </w:rPr>
        <w:t xml:space="preserve">редставить необходимые для рассмотрения в ходе документарной проверки документы. В течение 5 рабочих дней со дня получения такого требования региональный оператор обязан направить в орган государственного жилищного надзора указанные в требовании документы.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случае если в ходе документарной проверки вы</w:t>
      </w:r>
      <w:r>
        <w:rPr>
          <w:sz w:val="20"/>
        </w:rPr>
        <w:t xml:space="preserve">явлены ошибки и (или) противоречия в представленных региональным оператором документах либо выявлено несоответствие сведений, содержащихся в этих документах, сведениям, содержащимся в имеющихся у органа государственного жилищного надзора документах и (или)</w:t>
      </w:r>
      <w:r>
        <w:rPr>
          <w:sz w:val="20"/>
        </w:rPr>
        <w:t xml:space="preserve"> полученным при осуществлении контроля (надзора), информация об ошибках, о противоречиях и несоответствии сведений направляется региональному оператору с требованием представить в течение 5 рабочих дней необходимые пояснения. Региональный оператор, предста</w:t>
      </w:r>
      <w:r>
        <w:rPr>
          <w:sz w:val="20"/>
        </w:rPr>
        <w:t xml:space="preserve">вляющий в орган государственного жилищного надзора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ор</w:t>
      </w:r>
      <w:r>
        <w:rPr>
          <w:sz w:val="20"/>
        </w:rPr>
        <w:t xml:space="preserve">гана государственного жилищного надзора документах и (или) полученным при осуществлении контроля (надзора), вправе дополнительно представить в орган государственного жилищного надзора документы, подтверждающие достоверность ранее представленных документов.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При проведении документарной проверки орган государственно</w:t>
      </w:r>
      <w:r>
        <w:rPr>
          <w:sz w:val="20"/>
        </w:rPr>
        <w:t xml:space="preserve">го жилищного надзора не вправе требовать у регионального оператора сведения и документы, не относящиеся к предмету документарной проверки, а также сведения и документы, которые могут быть получены органом государственного жилищного надзора от иных органов.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19. Под выездной проверкой в целях настоящих Правил понимается комплексное контрольное (надзорное) мероприятие, которое проводится по мест</w:t>
      </w:r>
      <w:r>
        <w:rPr>
          <w:sz w:val="20"/>
        </w:rPr>
        <w:t xml:space="preserve">у нахождения (осуществления деятельности) регионального оператора в целях оценки соблюдения региональным оператором требований и решений органа государственного жилищного надзора, а также оценки выполнения решений органа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ходе выездной проверки могут совершаться следующие контрольные (надзорные) действия: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осмотр;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опрос;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получение письменных объяснений;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инструментальное обследование.</w:t>
      </w:r>
      <w:r/>
    </w:p>
    <w:p>
      <w:pPr>
        <w:pStyle w:val="827"/>
        <w:ind w:firstLine="540"/>
        <w:jc w:val="both"/>
        <w:spacing w:before="200"/>
      </w:pPr>
      <w:r/>
      <w:bookmarkStart w:id="130" w:name="P130"/>
      <w:r/>
      <w:bookmarkEnd w:id="130"/>
      <w:r>
        <w:rPr>
          <w:sz w:val="20"/>
        </w:rPr>
        <w:t xml:space="preserve">20. Под осмотром в целях насто</w:t>
      </w:r>
      <w:r>
        <w:rPr>
          <w:sz w:val="20"/>
        </w:rPr>
        <w:t xml:space="preserve">ящих Правил понимается контрольное (надзорное) действие, заключающееся в проведении визуального обследования территорий, помещений (отсеков) и иных объектов без разборки, демонтажа или нарушения целостности обследуемых объектов и их частей иными способами.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Осмотр осуществляется должностным лицом органа государственного жилищного надзора в присутствии регионального оператора или его представителя и (или) с применением видеозаписи.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21. Под опросом в целях настоящих Правил понимается контрольное (надзорное) действие, заключающееся в получении должностным лицом органа государственного жилищного надзора устной информации (объяснений, пояснений представителей рег</w:t>
      </w:r>
      <w:r>
        <w:rPr>
          <w:sz w:val="20"/>
        </w:rPr>
        <w:t xml:space="preserve">ионального оператора, подрядных организаций, осуществляющих капитальный ремонт, лица, осуществляющего управление многоквартирным домом, собственников помещений в многоквартирном доме) в целях проведения оценки соблюдения региональным оператором требований.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Результаты опроса фиксируются в протоколе опроса</w:t>
      </w:r>
      <w:r>
        <w:rPr>
          <w:sz w:val="20"/>
        </w:rPr>
        <w:t xml:space="preserve">, который подписывается опрашиваемым лицом, подтверждающим достоверность изложенных им сведений, а также в акте контрольного (надзорного) мероприятия (далее - акт) в случае, если полученные сведения имеют значение для контрольного (надзорного) мероприятия.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22. Под получением письменных объяснений в целях настоящих Правил понимается контрольное (надзорное) действие, заключающееся в запросе должностным лицом органа госуд</w:t>
      </w:r>
      <w:r>
        <w:rPr>
          <w:sz w:val="20"/>
        </w:rPr>
        <w:t xml:space="preserve">арственного жилищного надзора письменных свидетельств, имеющих значение для проведения оценки соблюдения региональным оператором требований, от регионального оператора или его представителя, свидетелей, располагающих такими сведениями (далее - объяснения).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Объяснения оформляются путем составления письменного документа в свободной форме.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Должностное лицо органа государственного жилищного надзора вправе собственнору</w:t>
      </w:r>
      <w:r>
        <w:rPr>
          <w:sz w:val="20"/>
        </w:rPr>
        <w:t xml:space="preserve">чно составить объяснения со слов должностных лиц или работников регионального оператора, его представителей, свидетелей, в том числе работников лица, осуществляющего управление многоквартирным домом, собственников помещений в многоквартирном доме. В этом с</w:t>
      </w:r>
      <w:r>
        <w:rPr>
          <w:sz w:val="20"/>
        </w:rPr>
        <w:t xml:space="preserve">лучае указанные лица знакомятся с объяснениями, при необходимости дополняют текст, делают отметку о том, что должностное лицо органа государственного жилищного надзора с их слов записало верно, и подписывают документ, указывая дату и место его составления.</w:t>
      </w:r>
      <w:r/>
    </w:p>
    <w:p>
      <w:pPr>
        <w:pStyle w:val="827"/>
        <w:ind w:firstLine="540"/>
        <w:jc w:val="both"/>
        <w:spacing w:before="200"/>
      </w:pPr>
      <w:r/>
      <w:bookmarkStart w:id="137" w:name="P137"/>
      <w:r/>
      <w:bookmarkEnd w:id="137"/>
      <w:r>
        <w:rPr>
          <w:sz w:val="20"/>
        </w:rPr>
        <w:t xml:space="preserve">23. Под инструментальным обследованием в целях настоящих Правил понимается контрольное (надзорное) действие, совершаемое должностным лицом органа государственного жилищного надзора по месту осуществления деятельности регионального оператора с использова</w:t>
      </w:r>
      <w:r>
        <w:rPr>
          <w:sz w:val="20"/>
        </w:rPr>
        <w:t xml:space="preserve">нием специального оборудования и (или)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Инструментальное обследование осуществляется должностным лицом органа государственного жилищного надзора, имеющим допуск к работе на специальном оборудовании, использованию технических приборов.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Результаты инструментального обследования, данные о специальном оборудовании и (или) технических приборах, использованных при инструментальном обследовании, указываются в акте.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24. Документарная проверка проводится по месту нахождения органа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Срок проведения документарной проверки не может превышать 20 рабочих дней.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25. Выездная проверка проводится по месту нахождения (осуществления деятельности) регионального оператора.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Срок проведения выездной проверки не может превышать 20 рабочих дней.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26. При проведении выездной проверки должностные лица, уполномоченные на осуществление контроля (надзора), для фиксации доказательств нарушения требований могут использовать фотосъемку, аудио- и видеозапись, иные способы фиксации доказательств.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Результаты проведения фотосъемки, аудио- и видеозаписи являются приложением к акту.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Использование фотосъемки, аудио- и видеозаписи для фиксации доказательств нарушения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27. Под наблюдением за соблюдением требований в целях настоящих Правил понимается сбор, анализ данных об объектах контроля (надзора), имеющихся у органа госуд</w:t>
      </w:r>
      <w:r>
        <w:rPr>
          <w:sz w:val="20"/>
        </w:rPr>
        <w:t xml:space="preserve">арственного жилищного надзора, в том числе данных, которые поступают в ходе межведомственного информационного взаимодействия, предоставляются региональным оператором в рамках исполнения требований, а также данных, содержащихся в государственных и муниципал</w:t>
      </w:r>
      <w:r>
        <w:rPr>
          <w:sz w:val="20"/>
        </w:rPr>
        <w:t xml:space="preserve">ьных информационных системах, данных из сети "Интернет",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При осуществлении наблюдения за соблюдением требований орган государственного жилищного надзора: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изучает размещенную в государственной информационной системе жилищно-коммунального хозяйства информацию о деятельности регионального оператора.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28. Под выездным обследованием в целях настоящих Правил понимается контрольное (надзорное) мероприят</w:t>
      </w:r>
      <w:r>
        <w:rPr>
          <w:sz w:val="20"/>
        </w:rPr>
        <w:t xml:space="preserve">ие, проводимое в целях оценки соблюдения региональным оператором требований. Выездное обследование может проводиться по месту нахождения (осуществления деятельности) регионального оператора, при этом не допускается взаимодействие с региональным оператором.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В ходе выездного обследования могут совершаться следующие контрольные (надзорные) действия: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осмотр;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инструментальное обследование.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Осмотр и инструментальное обследование, предусмотренные настоящим пунктом, совершаются в порядке, установленном </w:t>
      </w:r>
      <w:hyperlink w:tooltip="20. Под осмотром в целях настоящих Правил понимается контрольное (надзорное) действие, заключающееся в проведении визуального обследования территорий, помещений (отсеков) и иных объектов без разборки, демонтажа или нарушения целостности обследуемых объектов и их частей иными способами." w:anchor="P130" w:history="1">
        <w:r>
          <w:rPr>
            <w:color w:val="0000ff"/>
            <w:sz w:val="20"/>
          </w:rPr>
          <w:t xml:space="preserve">пунктами 20</w:t>
        </w:r>
      </w:hyperlink>
      <w:r>
        <w:rPr>
          <w:sz w:val="20"/>
        </w:rPr>
        <w:t xml:space="preserve"> и </w:t>
      </w:r>
      <w:hyperlink w:tooltip="23. Под инструментальным обследованием в целях настоящих Правил понимается контрольное (надзорное) действие, совершаемое должностным лицом органа государственного жилищного надзора по месту осуществления деятельности регионального оператора с использованием специального оборудования и (или)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." w:anchor="P137" w:history="1">
        <w:r>
          <w:rPr>
            <w:color w:val="0000ff"/>
            <w:sz w:val="20"/>
          </w:rPr>
          <w:t xml:space="preserve">23</w:t>
        </w:r>
      </w:hyperlink>
      <w:r>
        <w:rPr>
          <w:sz w:val="20"/>
        </w:rPr>
        <w:t xml:space="preserve"> настоящих Правил соответственно.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9"/>
        <w:jc w:val="center"/>
        <w:outlineLvl w:val="1"/>
      </w:pPr>
      <w:r>
        <w:rPr>
          <w:sz w:val="20"/>
        </w:rPr>
        <w:t xml:space="preserve">IV. Оформление результатов контрольного</w:t>
      </w:r>
      <w:r/>
    </w:p>
    <w:p>
      <w:pPr>
        <w:pStyle w:val="829"/>
        <w:jc w:val="center"/>
      </w:pPr>
      <w:r>
        <w:rPr>
          <w:sz w:val="20"/>
        </w:rPr>
        <w:t xml:space="preserve">(надзорного) мероприятия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29. По окончании проведения контрольного (надзорного) мероприятия органом государственного жилищного надзора составляется акт. Форма акта утверждается органом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30. В случае если по результатам проведения контрольного (надзорного) мероприятия, предусматривающего взаимодейств</w:t>
      </w:r>
      <w:r>
        <w:rPr>
          <w:sz w:val="20"/>
        </w:rPr>
        <w:t xml:space="preserve">ие с региональным оператором, выявлено нарушение требований, в акте должно быть указано, какое именно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</w:t>
      </w:r>
      <w:r>
        <w:rPr>
          <w:sz w:val="20"/>
        </w:rPr>
        <w:t xml:space="preserve">роведения контрольного (надзорного) мероприятия, предусматривающего взаимодействие с региональным оператором, в акте указывается факт его устранения. Документы, иные материалы, являющиеся доказательствами нарушения требований, должны быть приобщены к акту.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31. Составление акта производится в </w:t>
      </w:r>
      <w:r>
        <w:rPr>
          <w:sz w:val="20"/>
        </w:rPr>
        <w:t xml:space="preserve">день окончания проведения контрольного (надзорного) мероприятия на месте проведения такого мероприятия при наличии технической возможности составления акта, а при отсутствии такой возможности - по месту нахождения органа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32. Региональный оператор </w:t>
      </w:r>
      <w:r>
        <w:rPr>
          <w:sz w:val="20"/>
        </w:rPr>
        <w:t xml:space="preserve">или его представитель знакомится с содержанием акта на месте проведения контрольного (надзорного) мероприятия, за исключением случаев проведения документарной проверки либо контрольного (надзорного) мероприятия без взаимодействия с региональным оператором,</w:t>
      </w:r>
      <w:r>
        <w:rPr>
          <w:sz w:val="20"/>
        </w:rPr>
        <w:t xml:space="preserve"> при наличии технической возможности составления акта на месте проведения контрольного (надзорного) мероприятия. В иных случаях орган государственного жилищного надзора направляет акт региональному оператору в течение 3 рабочих дней со дня его составления.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33. Региональный оператор подписывает акт тем же способом, которым изготовлен данный акт.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34. При отказе от подп</w:t>
      </w:r>
      <w:r>
        <w:rPr>
          <w:sz w:val="20"/>
        </w:rPr>
        <w:t xml:space="preserve">исания акта региональным оператором или его представителем или невозможности подписания акта региональным оператором или его представителем по итогам проведения контрольного (надзорного) мероприятия в акте делается соответствующая отметка. В этом случае ак</w:t>
      </w:r>
      <w:r>
        <w:rPr>
          <w:sz w:val="20"/>
        </w:rPr>
        <w:t xml:space="preserve">т направляется региональному оператору в форме электронного документа, подписанного усиленной квалифицированной электронной подписью, по адресу электронной почты, сведения о котором были представлены при государственной регистрации регионального оператора.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35. В случае проведения документарной проверки ак</w:t>
      </w:r>
      <w:r>
        <w:rPr>
          <w:sz w:val="20"/>
        </w:rPr>
        <w:t xml:space="preserve">т направляется региональному оператору в форме электронного документа, подписанного усиленной квалифицированной электронной подписью, по адресу электронной почты, сведения о котором были представлены при государственной регистрации регионального оператора.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36.</w:t>
      </w:r>
      <w:r>
        <w:rPr>
          <w:sz w:val="20"/>
        </w:rPr>
        <w:t xml:space="preserve">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37. В случае если по результатам пр</w:t>
      </w:r>
      <w:r>
        <w:rPr>
          <w:sz w:val="20"/>
        </w:rPr>
        <w:t xml:space="preserve">оведения контрольного (надзорного) мероприятия выявлено нарушение региональным оператором требований, органом государственного жилищного надзора выдается предписание об устранении в 30-дневный срок выявленных нарушений, которое является приложением к акту.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9"/>
        <w:jc w:val="center"/>
        <w:outlineLvl w:val="1"/>
      </w:pPr>
      <w:r>
        <w:rPr>
          <w:sz w:val="20"/>
        </w:rPr>
        <w:t xml:space="preserve">V. Порядок обжалования решений органов государственного</w:t>
      </w:r>
      <w:r/>
    </w:p>
    <w:p>
      <w:pPr>
        <w:pStyle w:val="829"/>
        <w:jc w:val="center"/>
      </w:pPr>
      <w:r>
        <w:rPr>
          <w:sz w:val="20"/>
        </w:rPr>
        <w:t xml:space="preserve">жилищного надзора, действий (бездействия) должностных лиц</w:t>
      </w:r>
      <w:r/>
    </w:p>
    <w:p>
      <w:pPr>
        <w:pStyle w:val="829"/>
        <w:jc w:val="center"/>
      </w:pPr>
      <w:r>
        <w:rPr>
          <w:sz w:val="20"/>
        </w:rPr>
        <w:t xml:space="preserve">при осуществлении контроля (надзора)</w:t>
      </w:r>
      <w:r/>
    </w:p>
    <w:p>
      <w:pPr>
        <w:pStyle w:val="827"/>
        <w:jc w:val="center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  <w:t xml:space="preserve">38. Региональный оператор обладает правом на досудебное обжалование решений органа государственного жилищного надзора, действий (бездействия) должностных лиц органа государственного жилищного надзора в рамках контрольных (надзорных) мероприятий.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39. Жалоба на решение органа государственного жилищного надзора, действия (бездействие) должностного лица органа государственного жилищного надзора рассматривается руководителем органа государственного жилищного надзора.</w:t>
      </w:r>
      <w:r/>
    </w:p>
    <w:p>
      <w:pPr>
        <w:pStyle w:val="827"/>
        <w:ind w:firstLine="540"/>
        <w:jc w:val="both"/>
        <w:spacing w:before="200"/>
      </w:pPr>
      <w:r/>
      <w:bookmarkStart w:id="176" w:name="P176"/>
      <w:r/>
      <w:bookmarkEnd w:id="176"/>
      <w:r>
        <w:rPr>
          <w:sz w:val="20"/>
        </w:rPr>
        <w:t xml:space="preserve">40. Жалоба на р</w:t>
      </w:r>
      <w:r>
        <w:rPr>
          <w:sz w:val="20"/>
        </w:rPr>
        <w:t xml:space="preserve">ешение органа государственного жилищного надзора, действия (бездействие) должностного лица органа государственного жилищного надзора может быть подана в течение 30 дней со дня, когда региональный оператор узнал или должен был узнать о нарушении своих прав.</w:t>
      </w:r>
      <w:r/>
    </w:p>
    <w:p>
      <w:pPr>
        <w:pStyle w:val="827"/>
        <w:ind w:firstLine="540"/>
        <w:jc w:val="both"/>
        <w:spacing w:before="200"/>
      </w:pPr>
      <w:r/>
      <w:bookmarkStart w:id="177" w:name="P177"/>
      <w:r/>
      <w:bookmarkEnd w:id="177"/>
      <w:r>
        <w:rPr>
          <w:sz w:val="20"/>
        </w:rPr>
        <w:t xml:space="preserve">41.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предписания.</w:t>
      </w:r>
      <w:r/>
    </w:p>
    <w:p>
      <w:pPr>
        <w:pStyle w:val="827"/>
        <w:ind w:firstLine="540"/>
        <w:jc w:val="both"/>
        <w:spacing w:before="200"/>
      </w:pPr>
      <w:r>
        <w:rPr>
          <w:sz w:val="20"/>
        </w:rPr>
        <w:t xml:space="preserve">42. В случае пропуска по уважительной причине срока подачи жалобы срок, указанный в </w:t>
      </w:r>
      <w:hyperlink w:tooltip="40. Жалоба на решение органа государственного жилищного надзора, действия (бездействие) должностного лица органа государственного жилищного надзора может быть подана в течение 30 дней со дня, когда региональный оператор узнал или должен был узнать о нарушении своих прав." w:anchor="P176" w:history="1">
        <w:r>
          <w:rPr>
            <w:color w:val="0000ff"/>
            <w:sz w:val="20"/>
          </w:rPr>
          <w:t xml:space="preserve">пунктах 40</w:t>
        </w:r>
      </w:hyperlink>
      <w:r>
        <w:rPr>
          <w:sz w:val="20"/>
        </w:rPr>
        <w:t xml:space="preserve"> и </w:t>
      </w:r>
      <w:hyperlink w:tooltip="41.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." w:anchor="P177" w:history="1">
        <w:r>
          <w:rPr>
            <w:color w:val="0000ff"/>
            <w:sz w:val="20"/>
          </w:rPr>
          <w:t xml:space="preserve">41</w:t>
        </w:r>
      </w:hyperlink>
      <w:r>
        <w:rPr>
          <w:sz w:val="20"/>
        </w:rPr>
        <w:t xml:space="preserve"> настоящих Правил, по ходатайству регионального оператора может быть восстановлен руководителем органа государственного жилищного надзора.</w:t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ind w:firstLine="540"/>
        <w:jc w:val="both"/>
      </w:pPr>
      <w:r>
        <w:rPr>
          <w:sz w:val="20"/>
        </w:rPr>
      </w:r>
      <w:r/>
    </w:p>
    <w:p>
      <w:pPr>
        <w:pStyle w:val="827"/>
        <w:jc w:val="both"/>
        <w:spacing w:before="100" w:after="100"/>
        <w:rPr>
          <w:sz w:val="2"/>
          <w:szCs w:val="2"/>
        </w:rPr>
        <w:pBdr>
          <w:bottom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tbl>
    <w:tblPr>
      <w:tblW w:w="5000" w:type="pct"/>
      <w:tblInd w:w="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>
      <w:trPr>
        <w:trHeight w:val="1663" w:hRule="exact"/>
      </w:trPr>
      <w:tc>
        <w:tcPr>
          <w:tcW w:w="1650" w:type="pct"/>
          <w:vAlign w:val="center"/>
          <w:textDirection w:val="lrTb"/>
          <w:noWrap w:val="false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  <w:r/>
        </w:p>
      </w:tc>
      <w:tc>
        <w:tcPr>
          <w:tcW w:w="1700" w:type="pct"/>
          <w:vAlign w:val="center"/>
          <w:textDirection w:val="lrTb"/>
          <w:noWrap w:val="false"/>
        </w:tcPr>
        <w:p>
          <w:pPr>
            <w:jc w:val="center"/>
          </w:pPr>
          <w:r/>
          <w:hyperlink r:id="rId1" w:tooltip="https://www.consultant.ru" w:history="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  <w:r/>
          <w:r/>
        </w:p>
      </w:tc>
      <w:tc>
        <w:tcPr>
          <w:tcW w:w="1650" w:type="pct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/>
        </w:p>
      </w:tc>
    </w:tr>
  </w:tbl>
  <w:p>
    <w:r>
      <w:rPr>
        <w:sz w:val="2"/>
        <w:szCs w:val="2"/>
      </w:rPr>
      <w:t xml:space="preserve">1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tbl>
    <w:tblPr>
      <w:tblW w:w="5000" w:type="pct"/>
      <w:tblInd w:w="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>
      <w:trPr>
        <w:trHeight w:val="1663" w:hRule="exact"/>
      </w:trPr>
      <w:tc>
        <w:tcPr>
          <w:tcW w:w="1650" w:type="pct"/>
          <w:vAlign w:val="center"/>
          <w:textDirection w:val="lrTb"/>
          <w:noWrap w:val="false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  <w:r/>
        </w:p>
      </w:tc>
      <w:tc>
        <w:tcPr>
          <w:tcW w:w="1700" w:type="pct"/>
          <w:vAlign w:val="center"/>
          <w:textDirection w:val="lrTb"/>
          <w:noWrap w:val="false"/>
        </w:tcPr>
        <w:p>
          <w:pPr>
            <w:jc w:val="center"/>
          </w:pPr>
          <w:r/>
          <w:hyperlink r:id="rId1" w:tooltip="https://www.consultant.ru" w:history="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  <w:r/>
          <w:r/>
        </w:p>
      </w:tc>
      <w:tc>
        <w:tcPr>
          <w:tcW w:w="1650" w:type="pct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5</w:t>
          </w:r>
          <w:r>
            <w:fldChar w:fldCharType="end"/>
          </w:r>
          <w:r/>
        </w:p>
      </w:tc>
    </w:tr>
  </w:tbl>
  <w:p>
    <w:r>
      <w:rPr>
        <w:sz w:val="2"/>
        <w:szCs w:val="2"/>
      </w:rPr>
      <w:t xml:space="preserve">1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>
      <w:trPr>
        <w:trHeight w:val="1683" w:hRule="exact"/>
      </w:trPr>
      <w:tc>
        <w:tcPr>
          <w:tcW w:w="2700" w:type="pct"/>
          <w:vAlign w:val="center"/>
          <w:textDirection w:val="lrTb"/>
          <w:noWrap w:val="false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28.09.2022 N 1702</w:t>
            <w:br/>
            <w:t xml:space="preserve">"Об утверждении Правил осуществления государственного контроля (надз...</w:t>
          </w:r>
          <w:r>
            <w:rPr>
              <w:rFonts w:ascii="Tahoma" w:hAnsi="Tahoma" w:cs="Tahoma"/>
            </w:rPr>
          </w:r>
        </w:p>
      </w:tc>
      <w:tc>
        <w:tcPr>
          <w:tcW w:w="2300" w:type="pct"/>
          <w:vAlign w:val="center"/>
          <w:textDirection w:val="lrTb"/>
          <w:noWrap w:val="false"/>
        </w:tcPr>
        <w:p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06.06.2024</w:t>
          </w:r>
          <w:r>
            <w:rPr>
              <w:rFonts w:ascii="Tahoma" w:hAnsi="Tahoma" w:cs="Tahoma"/>
            </w:rPr>
          </w:r>
        </w:p>
      </w:tc>
    </w:tr>
  </w:tbl>
  <w:p>
    <w:pPr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>
      <w:trPr>
        <w:trHeight w:val="1683" w:hRule="exact"/>
      </w:trPr>
      <w:tc>
        <w:tcPr>
          <w:tcW w:w="2700" w:type="pct"/>
          <w:vAlign w:val="center"/>
          <w:textDirection w:val="lrTb"/>
          <w:noWrap w:val="false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28.09.2022 N 1702</w:t>
            <w:br/>
            <w:t xml:space="preserve">"Об утверждении Правил осуществления государственного контроля (надз...</w:t>
          </w:r>
          <w:r>
            <w:rPr>
              <w:rFonts w:ascii="Tahoma" w:hAnsi="Tahoma" w:cs="Tahoma"/>
            </w:rPr>
          </w:r>
        </w:p>
      </w:tc>
      <w:tc>
        <w:tcPr>
          <w:tcW w:w="2300" w:type="pct"/>
          <w:vAlign w:val="center"/>
          <w:textDirection w:val="lrTb"/>
          <w:noWrap w:val="false"/>
        </w:tcPr>
        <w:p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06.06.2024</w:t>
          </w:r>
          <w:r>
            <w:rPr>
              <w:rFonts w:ascii="Tahoma" w:hAnsi="Tahoma" w:cs="Tahoma"/>
            </w:rPr>
          </w:r>
        </w:p>
      </w:tc>
    </w:tr>
  </w:tbl>
  <w:p>
    <w:pPr>
      <w:rPr>
        <w:sz w:val="2"/>
        <w:szCs w:val="2"/>
      </w:rPr>
      <w:pBdr>
        <w:bottom w:val="single" w:color="000000" w:sz="12" w:space="0"/>
      </w:pBdr>
    </w:pPr>
    <w:r>
      <w:rPr>
        <w:sz w:val="2"/>
        <w:szCs w:val="2"/>
      </w:rPr>
    </w:r>
    <w:r>
      <w:rPr>
        <w:sz w:val="2"/>
        <w:szCs w:val="2"/>
      </w:rPr>
    </w:r>
  </w:p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827" w:default="1" w:customStyle="1">
    <w:name w:val="ConsPlusNormal"/>
    <w:pPr>
      <w:widowControl w:val="off"/>
    </w:pPr>
    <w:rPr>
      <w:rFonts w:ascii="Arial" w:hAnsi="Arial" w:cs="Arial"/>
      <w:sz w:val="20"/>
    </w:rPr>
  </w:style>
  <w:style w:type="paragraph" w:styleId="828" w:customStyle="1">
    <w:name w:val="ConsPlusNonformat"/>
    <w:pPr>
      <w:widowControl w:val="off"/>
    </w:pPr>
    <w:rPr>
      <w:rFonts w:ascii="Courier New" w:hAnsi="Courier New" w:cs="Courier New"/>
      <w:sz w:val="20"/>
    </w:rPr>
  </w:style>
  <w:style w:type="paragraph" w:styleId="829" w:customStyle="1">
    <w:name w:val="ConsPlusTitle"/>
    <w:pPr>
      <w:widowControl w:val="off"/>
    </w:pPr>
    <w:rPr>
      <w:rFonts w:ascii="Arial" w:hAnsi="Arial" w:cs="Arial"/>
      <w:b/>
      <w:sz w:val="20"/>
    </w:rPr>
  </w:style>
  <w:style w:type="paragraph" w:styleId="830" w:customStyle="1">
    <w:name w:val="ConsPlusCell"/>
    <w:pPr>
      <w:widowControl w:val="off"/>
    </w:pPr>
    <w:rPr>
      <w:rFonts w:ascii="Courier New" w:hAnsi="Courier New" w:cs="Courier New"/>
      <w:sz w:val="20"/>
    </w:rPr>
  </w:style>
  <w:style w:type="paragraph" w:styleId="831" w:customStyle="1">
    <w:name w:val="ConsPlusDocList"/>
    <w:pPr>
      <w:widowControl w:val="off"/>
    </w:pPr>
    <w:rPr>
      <w:rFonts w:ascii="Courier New" w:hAnsi="Courier New" w:cs="Courier New"/>
      <w:sz w:val="20"/>
    </w:rPr>
  </w:style>
  <w:style w:type="paragraph" w:styleId="832" w:customStyle="1">
    <w:name w:val="ConsPlusTitlePage"/>
    <w:pPr>
      <w:widowControl w:val="off"/>
    </w:pPr>
    <w:rPr>
      <w:rFonts w:ascii="Tahoma" w:hAnsi="Tahoma" w:cs="Tahoma"/>
      <w:sz w:val="20"/>
    </w:rPr>
  </w:style>
  <w:style w:type="paragraph" w:styleId="8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834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835" w:customStyle="1">
    <w:name w:val="ConsPlusTextList"/>
    <w:pPr>
      <w:widowControl w:val="off"/>
    </w:pPr>
    <w:rPr>
      <w:rFonts w:ascii="Arial" w:hAnsi="Arial" w:cs="Arial"/>
      <w:sz w:val="20"/>
    </w:rPr>
  </w:style>
  <w:style w:type="character" w:styleId="1659" w:default="1">
    <w:name w:val="Default Paragraph Font"/>
    <w:uiPriority w:val="1"/>
    <w:semiHidden/>
    <w:unhideWhenUsed/>
  </w:style>
  <w:style w:type="numbering" w:styleId="1660" w:default="1">
    <w:name w:val="No List"/>
    <w:uiPriority w:val="99"/>
    <w:semiHidden/>
    <w:unhideWhenUsed/>
  </w:style>
  <w:style w:type="table" w:styleId="16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475049&amp;dst=10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28.09.2022 N 1702
"Об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</dc:title>
  <cp:revision>1</cp:revision>
  <dcterms:created xsi:type="dcterms:W3CDTF">2024-06-06T01:43:45Z</dcterms:created>
  <dcterms:modified xsi:type="dcterms:W3CDTF">2024-06-06T01:45:01Z</dcterms:modified>
</cp:coreProperties>
</file>